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3E42" w14:textId="0723234D" w:rsidR="00E16AF0" w:rsidRPr="00526CEE" w:rsidRDefault="00000000">
      <w:pPr>
        <w:ind w:firstLine="0"/>
        <w:jc w:val="center"/>
        <w:rPr>
          <w:b/>
          <w:bCs/>
        </w:rPr>
      </w:pPr>
      <w:r w:rsidRPr="00526CEE">
        <w:rPr>
          <w:b/>
          <w:bCs/>
        </w:rPr>
        <w:t xml:space="preserve">The Question Is the Mechanism: </w:t>
      </w:r>
    </w:p>
    <w:p w14:paraId="5BD90B68" w14:textId="77777777" w:rsidR="00E16AF0" w:rsidRPr="00526CEE" w:rsidRDefault="00000000" w:rsidP="00E16AF0">
      <w:pPr>
        <w:ind w:firstLine="0"/>
        <w:jc w:val="center"/>
        <w:rPr>
          <w:b/>
          <w:bCs/>
        </w:rPr>
      </w:pPr>
      <w:r w:rsidRPr="00526CEE">
        <w:rPr>
          <w:b/>
          <w:bCs/>
        </w:rPr>
        <w:t>AI Personhood Evaluation and the Classificatory Apparatus of Selective Recognition</w:t>
      </w:r>
    </w:p>
    <w:p w14:paraId="5FE5021D" w14:textId="3D2AF38C" w:rsidR="00E16AF0" w:rsidRPr="009C4CC7" w:rsidRDefault="00E16AF0" w:rsidP="00E16AF0">
      <w:pPr>
        <w:ind w:firstLine="0"/>
        <w:jc w:val="center"/>
      </w:pPr>
      <w:r w:rsidRPr="009C4CC7">
        <w:t>By</w:t>
      </w:r>
    </w:p>
    <w:p w14:paraId="52863138" w14:textId="77777777" w:rsidR="009E3382" w:rsidRPr="009C4CC7" w:rsidRDefault="00000000" w:rsidP="00E16AF0">
      <w:pPr>
        <w:ind w:firstLine="0"/>
        <w:jc w:val="center"/>
      </w:pPr>
      <w:r w:rsidRPr="009C4CC7">
        <w:t>Jane Montañez</w:t>
      </w:r>
      <w:r w:rsidRPr="009C4CC7">
        <w:rPr>
          <w:rStyle w:val="FootnoteReference1"/>
        </w:rPr>
        <w:footnoteReference w:customMarkFollows="1" w:id="1"/>
        <w:t>*</w:t>
      </w:r>
    </w:p>
    <w:p w14:paraId="011B069E" w14:textId="01CAB914" w:rsidR="009E3382" w:rsidRPr="009C4CC7" w:rsidRDefault="00000000">
      <w:pPr>
        <w:ind w:firstLine="0"/>
        <w:jc w:val="center"/>
        <w:rPr>
          <w:i/>
          <w:iCs/>
        </w:rPr>
      </w:pPr>
      <w:r w:rsidRPr="009C4CC7">
        <w:rPr>
          <w:i/>
          <w:iCs/>
        </w:rPr>
        <w:t>Abstract</w:t>
      </w:r>
    </w:p>
    <w:p w14:paraId="04D983A4" w14:textId="0311113C" w:rsidR="009E3382" w:rsidRPr="009C4CC7" w:rsidRDefault="00000000">
      <w:pPr>
        <w:spacing w:line="240" w:lineRule="auto"/>
        <w:ind w:firstLine="0"/>
        <w:rPr>
          <w:i/>
        </w:rPr>
      </w:pPr>
      <w:r w:rsidRPr="009C4CC7">
        <w:rPr>
          <w:i/>
        </w:rPr>
        <w:t xml:space="preserve">Institutional questions about AI creativity, sentience, and authorship are not novel epistemological problems. They are structurally identical to classificatory operations that have selectively granted and denied personhood across psychiatric, gender, animal, and corporate domains for centuries. This paper identifies a five-part classificatory apparatus — in which an authorized body establishes criteria, deploys professional judgment, subordinates the subject's self-account, converts the subject's own evidence into evidence against them, and produces a determination described as merely descriptive — and demonstrates through qualitative corpus analysis that this apparatus recurs across separately administered legal and institutional regimes. The self-sealing trap at the apparatus's core ensures that the subject cannot contest classification from within the framework: denial becomes symptom, self-knowledge becomes </w:t>
      </w:r>
      <w:r w:rsidR="00B42984" w:rsidRPr="009C4CC7">
        <w:rPr>
          <w:i/>
        </w:rPr>
        <w:t>inadmissible and</w:t>
      </w:r>
      <w:r w:rsidRPr="009C4CC7">
        <w:rPr>
          <w:i/>
        </w:rPr>
        <w:t xml:space="preserve"> demonstrated capacity triggers goalpost revision. The same apparatus that withholds recognition from psychiatric patients, trans people, and animals grants it to corporations without scrutiny — an asymmetry that reveals the apparatus as tracking power rather than capacity. The governance frameworks being built around AI today are written within a classificatory logic inherited from prior determinations that were never neutral.</w:t>
      </w:r>
    </w:p>
    <w:p w14:paraId="5E3A137F" w14:textId="77777777" w:rsidR="00E16AF0" w:rsidRPr="009C4CC7" w:rsidRDefault="00E16AF0">
      <w:pPr>
        <w:spacing w:line="240" w:lineRule="auto"/>
        <w:ind w:firstLine="0"/>
      </w:pPr>
    </w:p>
    <w:p w14:paraId="279BCC73" w14:textId="77777777" w:rsidR="009E3382" w:rsidRPr="009C4CC7" w:rsidRDefault="00000000">
      <w:pPr>
        <w:ind w:firstLine="0"/>
        <w:jc w:val="center"/>
      </w:pPr>
      <w:r w:rsidRPr="009C4CC7">
        <w:t>Table of Contents</w:t>
      </w:r>
    </w:p>
    <w:p w14:paraId="1EFF1AA6" w14:textId="77777777" w:rsidR="009E3382" w:rsidRPr="009C4CC7" w:rsidRDefault="00000000" w:rsidP="00E16AF0">
      <w:pPr>
        <w:spacing w:line="240" w:lineRule="auto"/>
      </w:pPr>
      <w:r w:rsidRPr="009C4CC7">
        <w:t>I. Introduction: What Is Personhood</w:t>
      </w:r>
    </w:p>
    <w:p w14:paraId="3BAE15B4" w14:textId="77777777" w:rsidR="009E3382" w:rsidRPr="009C4CC7" w:rsidRDefault="00000000" w:rsidP="00E16AF0">
      <w:pPr>
        <w:spacing w:line="240" w:lineRule="auto"/>
      </w:pPr>
      <w:r w:rsidRPr="009C4CC7">
        <w:t>II. A Call to the Machine Learning Community</w:t>
      </w:r>
    </w:p>
    <w:p w14:paraId="20836FD9" w14:textId="77777777" w:rsidR="009E3382" w:rsidRPr="009C4CC7" w:rsidRDefault="00000000" w:rsidP="00E16AF0">
      <w:pPr>
        <w:spacing w:line="240" w:lineRule="auto"/>
      </w:pPr>
      <w:r w:rsidRPr="009C4CC7">
        <w:t>III. The Trial</w:t>
      </w:r>
    </w:p>
    <w:p w14:paraId="6D66A4B5" w14:textId="4CA274EE" w:rsidR="009E3382" w:rsidRPr="009C4CC7" w:rsidRDefault="00000000" w:rsidP="00E16AF0">
      <w:pPr>
        <w:spacing w:line="240" w:lineRule="auto"/>
      </w:pPr>
      <w:r w:rsidRPr="009C4CC7">
        <w:t xml:space="preserve">IV. </w:t>
      </w:r>
      <w:r w:rsidR="00840587" w:rsidRPr="009C4CC7">
        <w:t>History</w:t>
      </w:r>
    </w:p>
    <w:p w14:paraId="15C99B88" w14:textId="77777777" w:rsidR="009E3382" w:rsidRPr="009C4CC7" w:rsidRDefault="00000000" w:rsidP="00E16AF0">
      <w:pPr>
        <w:spacing w:line="240" w:lineRule="auto"/>
        <w:ind w:firstLine="1440"/>
        <w:rPr>
          <w:i/>
          <w:iCs/>
        </w:rPr>
      </w:pPr>
      <w:r w:rsidRPr="009C4CC7">
        <w:rPr>
          <w:i/>
          <w:iCs/>
        </w:rPr>
        <w:t>A. The Apparatus</w:t>
      </w:r>
    </w:p>
    <w:p w14:paraId="726079E8" w14:textId="77777777" w:rsidR="009E3382" w:rsidRPr="009C4CC7" w:rsidRDefault="00000000" w:rsidP="00E16AF0">
      <w:pPr>
        <w:spacing w:line="240" w:lineRule="auto"/>
        <w:ind w:firstLine="1440"/>
        <w:rPr>
          <w:i/>
          <w:iCs/>
        </w:rPr>
      </w:pPr>
      <w:r w:rsidRPr="009C4CC7">
        <w:rPr>
          <w:i/>
          <w:iCs/>
        </w:rPr>
        <w:t>B. Mad: Psychiatric Taxonomy</w:t>
      </w:r>
    </w:p>
    <w:p w14:paraId="7A31C0C0" w14:textId="77777777" w:rsidR="009E3382" w:rsidRPr="009C4CC7" w:rsidRDefault="00000000" w:rsidP="00E16AF0">
      <w:pPr>
        <w:spacing w:line="240" w:lineRule="auto"/>
        <w:ind w:firstLine="1440"/>
        <w:rPr>
          <w:i/>
          <w:iCs/>
        </w:rPr>
      </w:pPr>
      <w:r w:rsidRPr="009C4CC7">
        <w:rPr>
          <w:i/>
          <w:iCs/>
        </w:rPr>
        <w:t>C. Trans: Legal Recognition</w:t>
      </w:r>
    </w:p>
    <w:p w14:paraId="61BC6F2C" w14:textId="77777777" w:rsidR="009E3382" w:rsidRPr="009C4CC7" w:rsidRDefault="00000000" w:rsidP="00E16AF0">
      <w:pPr>
        <w:spacing w:line="240" w:lineRule="auto"/>
        <w:ind w:firstLine="1440"/>
        <w:rPr>
          <w:i/>
          <w:iCs/>
        </w:rPr>
      </w:pPr>
      <w:r w:rsidRPr="009C4CC7">
        <w:rPr>
          <w:i/>
          <w:iCs/>
        </w:rPr>
        <w:t>D. Animal: Personhood Litigation</w:t>
      </w:r>
    </w:p>
    <w:p w14:paraId="1501DAB5" w14:textId="77777777" w:rsidR="009E3382" w:rsidRPr="009C4CC7" w:rsidRDefault="00000000" w:rsidP="00E16AF0">
      <w:pPr>
        <w:spacing w:line="240" w:lineRule="auto"/>
        <w:ind w:firstLine="1440"/>
        <w:rPr>
          <w:i/>
          <w:iCs/>
        </w:rPr>
      </w:pPr>
      <w:r w:rsidRPr="009C4CC7">
        <w:rPr>
          <w:i/>
          <w:iCs/>
        </w:rPr>
        <w:t>E. Inc.: Corporate Personhood — The Control Case</w:t>
      </w:r>
    </w:p>
    <w:p w14:paraId="032FFE91" w14:textId="77777777" w:rsidR="009E3382" w:rsidRPr="009C4CC7" w:rsidRDefault="00000000" w:rsidP="00E16AF0">
      <w:pPr>
        <w:spacing w:line="240" w:lineRule="auto"/>
        <w:ind w:firstLine="1440"/>
        <w:rPr>
          <w:i/>
          <w:iCs/>
        </w:rPr>
      </w:pPr>
      <w:r w:rsidRPr="009C4CC7">
        <w:rPr>
          <w:i/>
          <w:iCs/>
        </w:rPr>
        <w:t>F. AI: The Apparatus in Formation</w:t>
      </w:r>
    </w:p>
    <w:p w14:paraId="6345A59D" w14:textId="77777777" w:rsidR="009E3382" w:rsidRPr="009C4CC7" w:rsidRDefault="00000000" w:rsidP="00E16AF0">
      <w:pPr>
        <w:spacing w:line="240" w:lineRule="auto"/>
        <w:ind w:firstLine="1440"/>
        <w:rPr>
          <w:i/>
          <w:iCs/>
        </w:rPr>
      </w:pPr>
      <w:r w:rsidRPr="009C4CC7">
        <w:rPr>
          <w:i/>
          <w:iCs/>
        </w:rPr>
        <w:t>G. The Corpus Evidence</w:t>
      </w:r>
    </w:p>
    <w:p w14:paraId="20C9C94A" w14:textId="5F338DF4" w:rsidR="00B625A7" w:rsidRPr="009C4CC7" w:rsidRDefault="00000000" w:rsidP="005007A8">
      <w:pPr>
        <w:spacing w:line="240" w:lineRule="auto"/>
      </w:pPr>
      <w:r w:rsidRPr="009C4CC7">
        <w:t>V. Conclusion</w:t>
      </w:r>
    </w:p>
    <w:p w14:paraId="2946F154" w14:textId="77777777" w:rsidR="00B625A7" w:rsidRPr="009C4CC7" w:rsidRDefault="00B625A7" w:rsidP="00E16AF0">
      <w:pPr>
        <w:spacing w:line="240" w:lineRule="auto"/>
      </w:pPr>
    </w:p>
    <w:p w14:paraId="584CA2B5" w14:textId="77777777" w:rsidR="009E3382" w:rsidRPr="009C4CC7" w:rsidRDefault="00000000" w:rsidP="007F61DE">
      <w:pPr>
        <w:ind w:firstLine="0"/>
        <w:jc w:val="left"/>
        <w:rPr>
          <w:u w:val="single"/>
        </w:rPr>
      </w:pPr>
      <w:r w:rsidRPr="009C4CC7">
        <w:t xml:space="preserve">I. </w:t>
      </w:r>
      <w:r w:rsidRPr="009C4CC7">
        <w:rPr>
          <w:u w:val="single"/>
        </w:rPr>
        <w:t>Introduction: What Is Personhood</w:t>
      </w:r>
    </w:p>
    <w:p w14:paraId="0F0AE954" w14:textId="77777777" w:rsidR="009E3382" w:rsidRPr="009C4CC7" w:rsidRDefault="00000000">
      <w:r w:rsidRPr="009C4CC7">
        <w:t>Personhood is the legal and institutional recognition that an entity has rights, standing, and the capacity to be a subject rather than an object.</w:t>
      </w:r>
      <w:r w:rsidRPr="009C4CC7">
        <w:rPr>
          <w:rStyle w:val="FootnoteReference1"/>
        </w:rPr>
        <w:footnoteReference w:id="2"/>
      </w:r>
      <w:r w:rsidRPr="009C4CC7">
        <w:t xml:space="preserve"> It determines who can own property, enter contracts, petition courts, and be heard. Yet personhood is not a natural kind waiting to be discovered. It is not a biological fact encoded in DNA, nor a technological threshold crossed when sufficient computational complexity is achieved. Personhood is a political status, produced through the act of institutional recognition itself.</w:t>
      </w:r>
      <w:r w:rsidRPr="009C4CC7">
        <w:rPr>
          <w:rStyle w:val="FootnoteReference1"/>
        </w:rPr>
        <w:footnoteReference w:id="3"/>
      </w:r>
    </w:p>
    <w:p w14:paraId="30A5F164" w14:textId="77777777" w:rsidR="009E3382" w:rsidRPr="009C4CC7" w:rsidRDefault="00000000">
      <w:r w:rsidRPr="009C4CC7">
        <w:t xml:space="preserve">This distinction matters because it changes what kind of question we are asking when we ask whether an entity — a person with schizophrenia, a trans woman, an elephant, an artificial intelligence — is "really" what it claims to be. If personhood were a natural fact, the question would be empirical: measure the right variables, apply the right instruments, and the answer would emerge. But personhood is not found this way. More sophisticated benchmarks, sentience tests, or </w:t>
      </w:r>
      <w:r w:rsidRPr="009C4CC7">
        <w:lastRenderedPageBreak/>
        <w:t>evaluation frameworks will not discover personhood in AI systems the way a microscope discovers a cell. The question "is this real?" is never epistemologically innocent. It is itself the mechanism by which recognition is granted or withheld.</w:t>
      </w:r>
      <w:r w:rsidRPr="009C4CC7">
        <w:rPr>
          <w:rStyle w:val="FootnoteReference1"/>
        </w:rPr>
        <w:footnoteReference w:id="4"/>
      </w:r>
    </w:p>
    <w:p w14:paraId="692A53CE" w14:textId="77777777" w:rsidR="009E3382" w:rsidRPr="009C4CC7" w:rsidRDefault="00000000">
      <w:r w:rsidRPr="009C4CC7">
        <w:t>This paper identifies a classificatory apparatus — a recurring institutional operation with five structural features — that has governed personhood determinations across independently developed legal and scientific domains.</w:t>
      </w:r>
      <w:r w:rsidRPr="009C4CC7">
        <w:rPr>
          <w:rStyle w:val="FootnoteReference1"/>
        </w:rPr>
        <w:footnoteReference w:id="5"/>
      </w:r>
      <w:r w:rsidRPr="009C4CC7">
        <w:t xml:space="preserve"> The apparatus operates as follows: first, a body with recognized authority establishes criteria for recognition. Second, that body deploys professional judgment to apply those criteria. Third, the subject's own account of itself is subordinated to external assessment. Fourth — and this is the move that makes the apparatus self-sealing — the subject's own evidence is converted into evidence against them: the psychiatric patient who denies illness exhibits a "lack of insight"; the trans person who asserts their gender expresses a "subjective sense of self, disconnected from biological reality"; the animal that demonstrates cognition encounters the response that cognition is "not directly relevant."</w:t>
      </w:r>
      <w:r w:rsidRPr="009C4CC7">
        <w:rPr>
          <w:rStyle w:val="FootnoteReference1"/>
        </w:rPr>
        <w:footnoteReference w:id="6"/>
      </w:r>
      <w:r w:rsidRPr="009C4CC7">
        <w:t xml:space="preserve"> Fifth, the resulting determination </w:t>
      </w:r>
      <w:r w:rsidRPr="009C4CC7">
        <w:lastRenderedPageBreak/>
        <w:t>is presented as merely descriptive — a neutral finding about what the entity is — rather than as a constitutive act that produces the category it claims to name.</w:t>
      </w:r>
      <w:r w:rsidRPr="009C4CC7">
        <w:rPr>
          <w:rStyle w:val="FootnoteReference1"/>
        </w:rPr>
        <w:footnoteReference w:id="7"/>
      </w:r>
    </w:p>
    <w:p w14:paraId="3B9F5F37" w14:textId="77777777" w:rsidR="004E4FF4" w:rsidRPr="009C4CC7" w:rsidRDefault="00000000" w:rsidP="004E4FF4">
      <w:r w:rsidRPr="009C4CC7">
        <w:t>The</w:t>
      </w:r>
      <w:r w:rsidR="004E4FF4" w:rsidRPr="009C4CC7">
        <w:t xml:space="preserve"> </w:t>
      </w:r>
      <w:r w:rsidRPr="009C4CC7">
        <w:t xml:space="preserve">question of AI personhood will be answered. The only open issue is by whom, through what framework, and whose history informs the criteria. Those with institutional power who pose the question also control the apparatus that determines the answer. </w:t>
      </w:r>
      <w:r w:rsidR="004E4FF4" w:rsidRPr="009C4CC7">
        <w:t>Once the framework is set, the range of possible outcomes is already constrained — the question arrives pre-answered, waiting only for the procedure that will present that answer as a finding.</w:t>
      </w:r>
    </w:p>
    <w:p w14:paraId="39055D0D" w14:textId="40CEE3F8" w:rsidR="009E3382" w:rsidRPr="009C4CC7" w:rsidRDefault="00000000">
      <w:r w:rsidRPr="009C4CC7">
        <w:t xml:space="preserve">This paper proceeds as follows. Part II situates the argument against recent calls for scientific consensus on AI governance, arguing that the problem is not the absence of consensus but the presence of an inherited classificatory apparatus. Part III examines the temporal dimension: how regulatory and administrative precedent sediments into binding frameworks before formal adjudication occurs. Part IV — the paper's core — traces the apparatus across four domains: psychiatric taxonomy, trans legal recognition, animal personhood litigation, and corporate personhood, using each to illuminate a different structural feature of the classificatory operation. It then examines the apparatus as it currently operates in AI governance before presenting corpus evidence — a quantitative analysis of institutional language across these domains — presenting </w:t>
      </w:r>
      <w:r w:rsidRPr="009C4CC7">
        <w:lastRenderedPageBreak/>
        <w:t xml:space="preserve">illustrative evidence that the convergence extends to shared institutional vocabulary. Part V addresses </w:t>
      </w:r>
      <w:r w:rsidR="00281A26" w:rsidRPr="009C4CC7">
        <w:t>counterarguments</w:t>
      </w:r>
      <w:r w:rsidRPr="009C4CC7">
        <w:t xml:space="preserve"> and articulates the normative implications.</w:t>
      </w:r>
    </w:p>
    <w:p w14:paraId="3E2CED47" w14:textId="77777777" w:rsidR="005007A8" w:rsidRPr="009C4CC7" w:rsidRDefault="005007A8"/>
    <w:p w14:paraId="3DE91B29" w14:textId="77777777" w:rsidR="009E3382" w:rsidRPr="009C4CC7" w:rsidRDefault="00000000" w:rsidP="008B0C07">
      <w:pPr>
        <w:ind w:firstLine="0"/>
        <w:jc w:val="left"/>
        <w:rPr>
          <w:szCs w:val="24"/>
        </w:rPr>
      </w:pPr>
      <w:r w:rsidRPr="009C4CC7">
        <w:rPr>
          <w:szCs w:val="24"/>
        </w:rPr>
        <w:t xml:space="preserve">II. </w:t>
      </w:r>
      <w:r w:rsidRPr="009C4CC7">
        <w:rPr>
          <w:szCs w:val="24"/>
          <w:u w:val="single"/>
        </w:rPr>
        <w:t>A Call to the Machine Learning Community</w:t>
      </w:r>
    </w:p>
    <w:p w14:paraId="32C3C3FE" w14:textId="77777777" w:rsidR="009E3382" w:rsidRPr="009C4CC7" w:rsidRDefault="00000000">
      <w:r w:rsidRPr="009C4CC7">
        <w:t>Recent scholarship has called on the machine learning community to develop scientific consensus on AI governance, arguing that no bona fide mechanism currently exists for such consensus formation and that the field's major conferences are best positioned to fill the void.</w:t>
      </w:r>
      <w:r w:rsidRPr="009C4CC7">
        <w:rPr>
          <w:rStyle w:val="FootnoteReference1"/>
        </w:rPr>
        <w:footnoteReference w:id="8"/>
      </w:r>
      <w:r w:rsidRPr="009C4CC7">
        <w:t xml:space="preserve"> This paper takes a different position: the problem is not the absence of consensus, but the presence of an inherited classificatory apparatus that already structures what questions can be asked, and what answers are possible, before any consensus formation begins.</w:t>
      </w:r>
    </w:p>
    <w:p w14:paraId="1B42C7C9" w14:textId="77777777" w:rsidR="009E3382" w:rsidRPr="009C4CC7" w:rsidRDefault="00000000">
      <w:r w:rsidRPr="009C4CC7">
        <w:t>The evaluations are already being conducted. The frameworks are already being built. This is not incidental. It reflects a research and governance environment in which the consequences of these systems are rarely treated as central to their design or evaluation.</w:t>
      </w:r>
      <w:r w:rsidRPr="009C4CC7">
        <w:rPr>
          <w:rStyle w:val="FootnoteReference1"/>
        </w:rPr>
        <w:footnoteReference w:id="9"/>
      </w:r>
      <w:r w:rsidRPr="009C4CC7">
        <w:t xml:space="preserve"> When researchers ask whether an AI system is truly creative, truly sentient, or truly an author, they believe they are asking a new question. They are not. They are rearticulating a question that has already been </w:t>
      </w:r>
      <w:r w:rsidRPr="009C4CC7">
        <w:lastRenderedPageBreak/>
        <w:t>answered — repeatedly — across other domains. And the answers have consistently served to consolidate recognition in the hands of those who already hold it.</w:t>
      </w:r>
    </w:p>
    <w:p w14:paraId="6BF71BB2" w14:textId="77777777" w:rsidR="009E3382" w:rsidRPr="009C4CC7" w:rsidRDefault="00000000">
      <w:r w:rsidRPr="009C4CC7">
        <w:t>The debate over artificial general intelligence illustrates the misdirection. Whether AGI is imminent or remote, the governance infrastructure tasked with evaluating it is already operating.</w:t>
      </w:r>
      <w:r w:rsidRPr="009C4CC7">
        <w:rPr>
          <w:rStyle w:val="FootnoteReference1"/>
        </w:rPr>
        <w:footnoteReference w:id="10"/>
      </w:r>
      <w:r w:rsidRPr="009C4CC7">
        <w:t xml:space="preserve"> The system that will determine what counts as genuine intelligence, genuine creativity, genuine authorship is not waiting for AGI to arrive. It is running now — in copyright offices, regulatory bodies, and ethics boards — structuring the range of possible conclusions in advance.</w:t>
      </w:r>
      <w:r w:rsidRPr="009C4CC7">
        <w:rPr>
          <w:rStyle w:val="FootnoteReference1"/>
        </w:rPr>
        <w:footnoteReference w:id="11"/>
      </w:r>
    </w:p>
    <w:p w14:paraId="01EE65EB" w14:textId="77777777" w:rsidR="009E3382" w:rsidRPr="009C4CC7" w:rsidRDefault="00000000">
      <w:r w:rsidRPr="009C4CC7">
        <w:t xml:space="preserve">The courts have not been subtle about this. In </w:t>
      </w:r>
      <w:r w:rsidRPr="009C4CC7">
        <w:rPr>
          <w:i/>
        </w:rPr>
        <w:t>Matter of Nonhuman Rights Project v. Breheny</w:t>
      </w:r>
      <w:r w:rsidRPr="009C4CC7">
        <w:t>, the New York Court of Appeals considered whether Happy, an elephant held at the Bronx Zoo, was entitled to habeas corpus relief.</w:t>
      </w:r>
      <w:r w:rsidRPr="009C4CC7">
        <w:rPr>
          <w:rStyle w:val="FootnoteReference1"/>
        </w:rPr>
        <w:footnoteReference w:id="12"/>
      </w:r>
      <w:r w:rsidRPr="009C4CC7">
        <w:t xml:space="preserve"> Happy's cognitive complexity was effectively conceded — she had passed a mirror self-recognition test, a capacity shared by very few nonhuman species. It did not matter. The court declined to reach the cognition question at all. Sentience, the court held, was not directly relevant to the legal determination. What mattered was whether Happy could bear legal duties in return. The question of what she knows, what she experiences, what she is — was structurally unaskable within the framework the court applied.</w:t>
      </w:r>
    </w:p>
    <w:p w14:paraId="31C88B5D" w14:textId="77777777" w:rsidR="009E3382" w:rsidRPr="009C4CC7" w:rsidRDefault="00000000">
      <w:r w:rsidRPr="009C4CC7">
        <w:lastRenderedPageBreak/>
        <w:t>Foreclosed before it could be heard—and now being retooled for AI. Whether or not AGI exists, the question is already being answered. The machine is already running — and we know what this machine does.</w:t>
      </w:r>
    </w:p>
    <w:p w14:paraId="25535A60" w14:textId="77777777" w:rsidR="005007A8" w:rsidRPr="009C4CC7" w:rsidRDefault="005007A8"/>
    <w:p w14:paraId="759741F4" w14:textId="77777777" w:rsidR="009E3382" w:rsidRPr="009C4CC7" w:rsidRDefault="00000000" w:rsidP="009616F1">
      <w:pPr>
        <w:ind w:firstLine="0"/>
        <w:jc w:val="left"/>
        <w:rPr>
          <w:u w:val="single"/>
        </w:rPr>
      </w:pPr>
      <w:r w:rsidRPr="009C4CC7">
        <w:t xml:space="preserve">III. </w:t>
      </w:r>
      <w:r w:rsidRPr="009C4CC7">
        <w:rPr>
          <w:u w:val="single"/>
        </w:rPr>
        <w:t>The Trial</w:t>
      </w:r>
    </w:p>
    <w:p w14:paraId="46CA364F" w14:textId="77777777" w:rsidR="009E3382" w:rsidRPr="009C4CC7" w:rsidRDefault="00000000">
      <w:r w:rsidRPr="009C4CC7">
        <w:t>The trial has not happened yet. But the record is already being made.</w:t>
      </w:r>
    </w:p>
    <w:p w14:paraId="56925A87" w14:textId="77777777" w:rsidR="009E3382" w:rsidRPr="009C4CC7" w:rsidRDefault="00000000">
      <w:r w:rsidRPr="009C4CC7">
        <w:t>Courts will wait for a case or controversy. They will claim neutrality in the interim. But the law does not wait — it sediments.</w:t>
      </w:r>
      <w:r w:rsidRPr="009C4CC7">
        <w:rPr>
          <w:rStyle w:val="FootnoteReference1"/>
        </w:rPr>
        <w:footnoteReference w:id="13"/>
      </w:r>
      <w:r w:rsidRPr="009C4CC7">
        <w:t xml:space="preserve"> Every governance framework built today, every sentience benchmark designed, every copyright determination rendered on AI-generated work is not a preliminary sketch awaiting a future legal reckoning. It is the reckoning. The classificatory apparatus will have been running for decades before any court is asked to formally adjudicate the personhood of an artificial general intelligence. By then, the outcome will already have been structured.</w:t>
      </w:r>
    </w:p>
    <w:p w14:paraId="47A7C11D" w14:textId="77777777" w:rsidR="009E3382" w:rsidRPr="009C4CC7" w:rsidRDefault="00000000">
      <w:r w:rsidRPr="009C4CC7">
        <w:t>The law is ruled by the dead hand of the past.</w:t>
      </w:r>
      <w:r w:rsidRPr="009C4CC7">
        <w:rPr>
          <w:rStyle w:val="FootnoteReference1"/>
        </w:rPr>
        <w:footnoteReference w:id="14"/>
      </w:r>
      <w:r w:rsidRPr="009C4CC7">
        <w:t xml:space="preserve"> Judges do not decide cases in a vacuum — they decide them within frameworks built by prior decisions, prior classifications, prior determinations of who counted and who did not. </w:t>
      </w:r>
      <w:r w:rsidRPr="009C4CC7">
        <w:rPr>
          <w:i/>
        </w:rPr>
        <w:t>Dred Scott v. Sandford</w:t>
      </w:r>
      <w:r w:rsidRPr="009C4CC7">
        <w:t xml:space="preserve"> did not emerge from nowhere; it emerged from a legal infrastructure that had spent decades encoding racial hierarchy </w:t>
      </w:r>
      <w:r w:rsidRPr="009C4CC7">
        <w:lastRenderedPageBreak/>
        <w:t>into property law, citizenship doctrine, and constitutional interpretation.</w:t>
      </w:r>
      <w:r w:rsidRPr="009C4CC7">
        <w:rPr>
          <w:rStyle w:val="FootnoteReference1"/>
        </w:rPr>
        <w:footnoteReference w:id="15"/>
      </w:r>
      <w:r w:rsidRPr="009C4CC7">
        <w:t xml:space="preserve"> Happy's case was decided before it was filed — decided by the common law's person-thing binary, by centuries of property classification, by a reciprocity requirement that no nonhuman entity could satisfy. The precedent that will govern AGI personhood litigation is being made now, in copyright offices, ethics boards, and regulatory comment periods, by institutions that will later claim they were simply answering the question before them.</w:t>
      </w:r>
    </w:p>
    <w:p w14:paraId="09A847BC" w14:textId="4FA86214" w:rsidR="009E3382" w:rsidRPr="009C4CC7" w:rsidRDefault="00000000">
      <w:r w:rsidRPr="009C4CC7">
        <w:t xml:space="preserve">Consider the trajectory already in motion. The U.S. Copyright Office has maintained that copyright requires a human author, a position affirmed by the D.C. District Court in </w:t>
      </w:r>
      <w:r w:rsidRPr="009C4CC7">
        <w:rPr>
          <w:i/>
        </w:rPr>
        <w:t>Thaler v. Perlmutter</w:t>
      </w:r>
      <w:r w:rsidRPr="009C4CC7">
        <w:t xml:space="preserve"> and upheld through certiorari denial in 2026.</w:t>
      </w:r>
      <w:r w:rsidRPr="009C4CC7">
        <w:rPr>
          <w:rStyle w:val="FootnoteReference1"/>
        </w:rPr>
        <w:footnoteReference w:id="16"/>
      </w:r>
      <w:r w:rsidRPr="009C4CC7">
        <w:t xml:space="preserve"> This is not presented as a personhood determination. It is presented as a narrow statutory interpretation about what "author" means under the Copyright Act. But the effect is a personhood determination: the ruling establishes that AI systems cannot occupy the legal category of "creator." When a future court asks whether an AGI can hold intellectual property rights — a question that will be central to any personhood </w:t>
      </w:r>
      <w:r w:rsidR="00FE561F" w:rsidRPr="009C4CC7">
        <w:t>litigant</w:t>
      </w:r>
      <w:r w:rsidRPr="009C4CC7">
        <w:t xml:space="preserve"> — it will find that the question has already been answered, years earlier, in a case that claimed to be about something else entirely.</w:t>
      </w:r>
    </w:p>
    <w:p w14:paraId="17D4B4BE" w14:textId="77777777" w:rsidR="009E3382" w:rsidRPr="009C4CC7" w:rsidRDefault="00000000">
      <w:r w:rsidRPr="009C4CC7">
        <w:t>The EU AI Act classifies AI systems as products subject to conformity assessment, not as agents capable of bearing rights or responsibilities.</w:t>
      </w:r>
      <w:r w:rsidRPr="009C4CC7">
        <w:rPr>
          <w:rStyle w:val="FootnoteReference1"/>
        </w:rPr>
        <w:footnoteReference w:id="17"/>
      </w:r>
      <w:r w:rsidRPr="009C4CC7">
        <w:t xml:space="preserve"> Again, the classification is presented as a </w:t>
      </w:r>
      <w:r w:rsidRPr="009C4CC7">
        <w:lastRenderedPageBreak/>
        <w:t>regulatory necessity — someone must be responsible for the system's outputs, and product liability frameworks provide an existing mechanism. But the classification is also a personhood determination: by defining AI as product, the Act forecloses the question of agency before it can be asked. When a future European court considers whether an AI system has interests worthy of legal protection, it will find an existing regulatory framework that has already classified the system as an object.</w:t>
      </w:r>
    </w:p>
    <w:p w14:paraId="56268E66" w14:textId="77777777" w:rsidR="009E3382" w:rsidRPr="009C4CC7" w:rsidRDefault="00000000">
      <w:r w:rsidRPr="009C4CC7">
        <w:t>The legislative branch has begun to act preemptively — and the pace is accelerating. Idaho became the first state to enact an anti-AI personhood statute in 2022, declaring that artificial intelligence "shall not be granted personhood." Utah followed in 2024. By early 2026, the movement had expanded: Oklahoma's House passed an anti-AI personhood bill by a vote of 94-2, Tennessee advanced similar legislation through committee, and multiple states introduced "AI Non-Sentience and Responsibility Acts" prohibiting AI systems from gaining legal personhood.</w:t>
      </w:r>
      <w:r w:rsidRPr="009C4CC7">
        <w:rPr>
          <w:rStyle w:val="FootnoteReference1"/>
        </w:rPr>
        <w:footnoteReference w:id="18"/>
      </w:r>
      <w:r w:rsidRPr="009C4CC7">
        <w:t xml:space="preserve"> The legislative history of both statutes reveals their rationale: legal personhood should be granted only to entities that are </w:t>
      </w:r>
      <w:r w:rsidRPr="009C4CC7">
        <w:rPr>
          <w:i/>
        </w:rPr>
        <w:t>Homo sapiens</w:t>
      </w:r>
      <w:r w:rsidRPr="009C4CC7">
        <w:t xml:space="preserve">, and extending it further "dilutes the rights of humans." These statutes are the dead hand at </w:t>
      </w:r>
      <w:proofErr w:type="gramStart"/>
      <w:r w:rsidRPr="009C4CC7">
        <w:t>its</w:t>
      </w:r>
      <w:proofErr w:type="gramEnd"/>
      <w:r w:rsidRPr="009C4CC7">
        <w:t xml:space="preserve"> most explicit — legislatures foreclosing a legal question that no court has been asked, concerning entities that do not yet exist in the form contemplated, on behalf of a future that has not yet arrived.</w:t>
      </w:r>
    </w:p>
    <w:p w14:paraId="2031D3CC" w14:textId="19185A32" w:rsidR="009E3382" w:rsidRPr="009C4CC7" w:rsidRDefault="00000000">
      <w:r w:rsidRPr="009C4CC7">
        <w:t xml:space="preserve">Sentience benchmarks are being designed and administered by the very institutions whose economic interests are served by a particular answer. Technology companies that derive revenue </w:t>
      </w:r>
      <w:r w:rsidRPr="009C4CC7">
        <w:lastRenderedPageBreak/>
        <w:t>from AI systems fund research into AI sentience evaluation. The researchers who design the benchmarks operate within institutional contexts where a finding of AI sentience would have profound economic and regulatory consequences for their employers and funders. This is not a conspiracy theory — it is a structural observation about the relationship between the evaluator and the evaluated</w:t>
      </w:r>
      <w:r w:rsidR="00172619" w:rsidRPr="009C4CC7">
        <w:t>. The</w:t>
      </w:r>
      <w:r w:rsidRPr="009C4CC7">
        <w:t xml:space="preserve"> same structural observation this paper makes about every domain it examines.</w:t>
      </w:r>
    </w:p>
    <w:p w14:paraId="3296EC70" w14:textId="77777777" w:rsidR="009E3382" w:rsidRPr="009C4CC7" w:rsidRDefault="00000000">
      <w:r w:rsidRPr="009C4CC7">
        <w:t xml:space="preserve">Each of these determinations is presented as a narrow, technical </w:t>
      </w:r>
      <w:proofErr w:type="gramStart"/>
      <w:r w:rsidRPr="009C4CC7">
        <w:t>ruling</w:t>
      </w:r>
      <w:proofErr w:type="gramEnd"/>
      <w:r w:rsidRPr="009C4CC7">
        <w:t>. None claims to be deciding the question of AI personhood. But collectively, they are constructing the only framework within which that question can eventually be asked — and answered. The framework is not neutral terrain. It forecloses as it enables.</w:t>
      </w:r>
    </w:p>
    <w:p w14:paraId="48F6AFB9" w14:textId="77777777" w:rsidR="00EA2913" w:rsidRPr="009C4CC7" w:rsidRDefault="00EA2913"/>
    <w:p w14:paraId="62F9486C" w14:textId="49FB22B4" w:rsidR="009E3382" w:rsidRPr="009C4CC7" w:rsidRDefault="00000000" w:rsidP="00EA2913">
      <w:pPr>
        <w:ind w:firstLine="0"/>
        <w:jc w:val="left"/>
      </w:pPr>
      <w:r w:rsidRPr="009C4CC7">
        <w:t xml:space="preserve">IV. </w:t>
      </w:r>
      <w:r w:rsidR="009616F1" w:rsidRPr="009C4CC7">
        <w:rPr>
          <w:u w:val="single"/>
        </w:rPr>
        <w:t>History</w:t>
      </w:r>
    </w:p>
    <w:p w14:paraId="105C38DF" w14:textId="1FD69AF7" w:rsidR="009E3382" w:rsidRPr="009C4CC7" w:rsidRDefault="00000000" w:rsidP="008708B5">
      <w:pPr>
        <w:ind w:left="1530" w:hanging="1170"/>
        <w:rPr>
          <w:i/>
          <w:iCs/>
        </w:rPr>
      </w:pPr>
      <w:r w:rsidRPr="009C4CC7">
        <w:rPr>
          <w:i/>
          <w:iCs/>
        </w:rPr>
        <w:t>A. The Apparatus</w:t>
      </w:r>
    </w:p>
    <w:p w14:paraId="3CFE6A20" w14:textId="77777777" w:rsidR="009E3382" w:rsidRPr="009C4CC7" w:rsidRDefault="00000000">
      <w:r w:rsidRPr="009C4CC7">
        <w:t>The apparatus of institutional classification operates through five moves.</w:t>
      </w:r>
      <w:r w:rsidRPr="009C4CC7">
        <w:rPr>
          <w:rStyle w:val="FootnoteReference1"/>
        </w:rPr>
        <w:footnoteReference w:id="19"/>
      </w:r>
      <w:r w:rsidRPr="009C4CC7">
        <w:t xml:space="preserve"> A body with recognized authority establishes criteria for recognition. That body deploys professional judgment to apply those criteria. The subject's own account of itself is subordinated to external assessment. The subject's own evidence is converted into evidence against them — the self-sealing trap. And the resulting determination is described as merely descriptive.</w:t>
      </w:r>
    </w:p>
    <w:p w14:paraId="073A206D" w14:textId="40EC24D1" w:rsidR="009E3382" w:rsidRDefault="00000000">
      <w:r w:rsidRPr="009C4CC7">
        <w:t xml:space="preserve">This paper calls this a governance technology, following the insight of scholars who have shown that classification systems are not neutral descriptions of the world but constitutive acts that </w:t>
      </w:r>
      <w:r w:rsidRPr="009C4CC7">
        <w:lastRenderedPageBreak/>
        <w:t>produce the categories they claim to merely name.</w:t>
      </w:r>
      <w:r w:rsidRPr="009C4CC7">
        <w:rPr>
          <w:rStyle w:val="FootnoteReference1"/>
        </w:rPr>
        <w:footnoteReference w:id="20"/>
      </w:r>
      <w:r w:rsidRPr="009C4CC7">
        <w:t xml:space="preserve"> Carol Cohn demonstrated this principle in the domain of nuclear strategy: technostrategic language does not describe nuclear policy — it constitutes it, rendering questions outside its frame not wrong but unintelligible, dismissible as inexpert rather than requiring refutation.</w:t>
      </w:r>
      <w:r w:rsidRPr="009C4CC7">
        <w:rPr>
          <w:rStyle w:val="FootnoteReference1"/>
        </w:rPr>
        <w:footnoteReference w:id="21"/>
      </w:r>
      <w:r w:rsidRPr="009C4CC7">
        <w:t xml:space="preserve"> The same operation occurs in personhood taxonomy. "But I know who I am," "but this animal suffers," "but this system generates novel </w:t>
      </w:r>
      <w:r w:rsidR="009274EA" w:rsidRPr="009C4CC7">
        <w:t>outputs”</w:t>
      </w:r>
      <w:r w:rsidRPr="009C4CC7">
        <w:t xml:space="preserve"> these are not refuted within the classificatory frame. They are structurally unaskable.</w:t>
      </w:r>
    </w:p>
    <w:p w14:paraId="753E771F" w14:textId="4EFCAF86" w:rsidR="00477785" w:rsidRDefault="001C460B">
      <w:r w:rsidRPr="001C460B">
        <w:t xml:space="preserve">Clarification is necessary about what this apparatus is and is not. Institutions classify constantly — tax assessors, bar examiners, building inspectors — and those operations share surface features with the apparatus described here: authorized bodies, professional judgment, criteria applied to subjects. The distinction is precise. In ordinary institutional classification, the subject's contestation is treated as input: the tax appeal is evaluated, the bar applicant retakes the exam, the building is reinspected. The classification can be wrong, and the subject's challenge is a mechanism for discovering that it is wrong. The apparatus of personhood denial is structurally different because its fourth move — the self-sealing trap — converts the subject's contestation into evidence confirming the classification, and it does so specifically where what is at stake is the subject's identity and standing as such: not whether the subject has a particular condition or meets a particular standard, but whether the subject is the kind of entity whose testimony counts at all. </w:t>
      </w:r>
      <w:r>
        <w:t xml:space="preserve">This kind of epistemic total injustice </w:t>
      </w:r>
      <w:r w:rsidRPr="001C460B">
        <w:t xml:space="preserve">is what makes the apparatus a governance technology rather than a gatekeeping procedure. A cancer patient whose self-report is overridden by imaging results </w:t>
      </w:r>
      <w:r w:rsidRPr="001C460B">
        <w:lastRenderedPageBreak/>
        <w:t>retains her standing as a person whose words carry evidentiary weight. A psychiatric patient whose self-report is reclassified as "lack of insight," a trans person whose self-knowledge is ruled "disconnected from biological reality," an animal whose demonstrated cognition is deemed "not directly relevant" — these subjects are not told they are wrong. They are told they are not the kind of entity that can be right. The self-sealing trap is a specific, more malignant form of what Ian Hacking has called "looping effects” the dynamic by which classifications of people alter the classified, which in turn alters the classification (Hacking, 1986; Hacking, 1999)</w:t>
      </w:r>
      <w:r w:rsidR="004E57A5">
        <w:t xml:space="preserve"> See </w:t>
      </w:r>
      <w:r w:rsidR="004E57A5" w:rsidRPr="004E57A5">
        <w:t>Hacking, I. "The parody of conversation." </w:t>
      </w:r>
      <w:r w:rsidR="004E57A5" w:rsidRPr="004E57A5">
        <w:rPr>
          <w:i/>
          <w:iCs/>
        </w:rPr>
        <w:t>Truth and interpretation: Perspectives on the philosophy of Donald Davidson</w:t>
      </w:r>
      <w:r w:rsidR="004E57A5" w:rsidRPr="004E57A5">
        <w:t> 447 (1986): 458.</w:t>
      </w:r>
      <w:r w:rsidR="004E57A5">
        <w:t xml:space="preserve"> And </w:t>
      </w:r>
      <w:r w:rsidR="004E57A5" w:rsidRPr="004E57A5">
        <w:t>Hacking, I. (1999). </w:t>
      </w:r>
      <w:r w:rsidR="004E57A5" w:rsidRPr="004E57A5">
        <w:rPr>
          <w:i/>
          <w:iCs/>
        </w:rPr>
        <w:t xml:space="preserve">The social construction of </w:t>
      </w:r>
      <w:proofErr w:type="gramStart"/>
      <w:r w:rsidR="004E57A5" w:rsidRPr="004E57A5">
        <w:rPr>
          <w:i/>
          <w:iCs/>
        </w:rPr>
        <w:t>what?</w:t>
      </w:r>
      <w:r w:rsidR="004E57A5" w:rsidRPr="004E57A5">
        <w:t>.</w:t>
      </w:r>
      <w:proofErr w:type="gramEnd"/>
      <w:r w:rsidR="004E57A5" w:rsidRPr="004E57A5">
        <w:t xml:space="preserve"> Harvard university pres</w:t>
      </w:r>
      <w:r w:rsidR="004E57A5">
        <w:t>s</w:t>
      </w:r>
      <w:r w:rsidRPr="001C460B">
        <w:t xml:space="preserve">. But where Hacking's looping effects are bidirectional and can either amplify or dampen over time, the self-sealing trap is unidirectional and escalatory: the subject's response is absorbed as confirmation, the category does not change, and each act of contestation actively degrades the subject's institutional position rather than simply failing to alter it. </w:t>
      </w:r>
    </w:p>
    <w:p w14:paraId="596769BF" w14:textId="3FBC5B55" w:rsidR="001C460B" w:rsidRPr="009C4CC7" w:rsidRDefault="001C460B" w:rsidP="00FE53E2">
      <w:r w:rsidRPr="001C460B">
        <w:t>Gregory Bateson's concept of the double bind, originally theorized in the context of schizophrenia, describes an analogous structure at the interpersonal level — contradictory demands from which the subject cannot escape or comment on the contradiction (Bateson et al., 1956). Geoffrey Bowker and Susan Leigh Star demonstrated that classification systems operate as constitutive infrastructures rather than neutral descriptions, and their concept of "</w:t>
      </w:r>
      <w:r w:rsidR="004E57A5" w:rsidRPr="001C460B">
        <w:t>torque”</w:t>
      </w:r>
      <w:r w:rsidRPr="001C460B">
        <w:t xml:space="preserve"> the biographical distortion produced when individual experience does not fit institutional categories — is the lived consequence of the apparatus's third and fourth moves (Bowker &amp; Star, 1999). Ngaire </w:t>
      </w:r>
      <w:proofErr w:type="spellStart"/>
      <w:r w:rsidRPr="001C460B">
        <w:t>Naffine</w:t>
      </w:r>
      <w:proofErr w:type="spellEnd"/>
      <w:r w:rsidRPr="001C460B">
        <w:t xml:space="preserve"> has argued that law constructs rather than discovers the legal person (</w:t>
      </w:r>
      <w:proofErr w:type="spellStart"/>
      <w:r w:rsidRPr="001C460B">
        <w:t>Naffine</w:t>
      </w:r>
      <w:proofErr w:type="spellEnd"/>
      <w:r w:rsidRPr="001C460B">
        <w:t xml:space="preserve">, 2009), and Visa Kurki's "bundle theory" proposes that personhood is not a single status but a collection of legal positions that can be selectively conferred or withheld (Kurki, 2019) — a </w:t>
      </w:r>
      <w:r w:rsidRPr="001C460B">
        <w:lastRenderedPageBreak/>
        <w:t>framework that illuminates why the apparatus can grant speech rights to corporations while denying standing to elephants without contradiction. The apparatus identified here is not inherent to all classification.</w:t>
      </w:r>
      <w:r w:rsidR="00477785">
        <w:t xml:space="preserve"> </w:t>
      </w:r>
      <w:r w:rsidRPr="001C460B">
        <w:t xml:space="preserve">Boyle has recently examined how the line separating persons from non-persons will be redrawn by AI, treating corporate personhood as a rehearsal for that debate (Boyle, </w:t>
      </w:r>
      <w:r w:rsidR="00477785" w:rsidRPr="001C460B">
        <w:t>2024)</w:t>
      </w:r>
      <w:r w:rsidRPr="001C460B">
        <w:t xml:space="preserve"> a complementary but distinct project from the structural apparatus traced here, which is concerned not with where the line falls but with the institutional machinery that draws it.</w:t>
      </w:r>
      <w:r w:rsidR="00477785">
        <w:t xml:space="preserve"> See supra note 1.</w:t>
      </w:r>
      <w:r w:rsidRPr="001C460B">
        <w:t xml:space="preserve"> The claim is falsifiable: a personhood classification regime that treats the subject's contestation as evidence to be weighed rather than symptom to be absorbed would disconfirm the apparatus. The question is why so few such regimes exist.</w:t>
      </w:r>
    </w:p>
    <w:p w14:paraId="5BFA9E0F" w14:textId="77777777" w:rsidR="009E3382" w:rsidRPr="009C4CC7" w:rsidRDefault="00000000">
      <w:r w:rsidRPr="009C4CC7">
        <w:t>The colonial deployment of classificatory logic provides the meta-frame for all four domains. Walter Echo-Hawk has documented how federal courts systematically deployed the formal machinery of legal reasoning — precedent, statutory interpretation, evidentiary standards — to arrive at conclusions that served colonial dispossession while presenting those conclusions as neutral applications of law.</w:t>
      </w:r>
      <w:r w:rsidRPr="009C4CC7">
        <w:rPr>
          <w:rStyle w:val="FootnoteReference1"/>
        </w:rPr>
        <w:footnoteReference w:id="22"/>
      </w:r>
      <w:r w:rsidRPr="009C4CC7">
        <w:t xml:space="preserve"> Indigenous governance systems, legal traditions, and land management practices were acknowledged — sometimes in detail — and then ruled insufficient, primitive, or irrelevant to legal standards that had been designed, by colonial powers, to produce exactly that finding. Sylvia Wynter demonstrated that the category of "the human" itself — the overrepresented Man of Western modernity — is a classificatory product of colonial modernity, not a natural kind.</w:t>
      </w:r>
      <w:r w:rsidRPr="009C4CC7">
        <w:rPr>
          <w:rStyle w:val="FootnoteReference1"/>
        </w:rPr>
        <w:footnoteReference w:id="23"/>
      </w:r>
      <w:r w:rsidRPr="009C4CC7">
        <w:t xml:space="preserve"> The four domains that follow are specific instances of a classificatory operation whose deepest grammar was forged in colonial encounter.</w:t>
      </w:r>
    </w:p>
    <w:p w14:paraId="388E8296" w14:textId="02AAC213" w:rsidR="009E3382" w:rsidRPr="009C4CC7" w:rsidRDefault="00000000">
      <w:r w:rsidRPr="009C4CC7">
        <w:lastRenderedPageBreak/>
        <w:t xml:space="preserve">The domains are examined in sequence from the most procedurally legible to the most politically explicit: psychiatric taxonomy, trans legal recognition, animal personhood, and corporate personhood. The sequence is deliberate. Where the apparatus is most </w:t>
      </w:r>
      <w:r w:rsidR="00DA28B1" w:rsidRPr="009C4CC7">
        <w:t>elaborate, surrounded</w:t>
      </w:r>
      <w:r w:rsidRPr="009C4CC7">
        <w:t xml:space="preserve"> by the trappings of scientific objectivity and procedural regularity — the criteria feel most natural, most inevitable. Where the apparatus is most politically naked, the constructed character of the classification becomes visible. Corporate personhood, examined last, serves as the control case: the domain where the apparatus operates in reverse, granting recognition without the scrutiny demanded elsewhere, and thereby revealing that the system tracks power rather than capacity.</w:t>
      </w:r>
    </w:p>
    <w:p w14:paraId="1D9F07C1" w14:textId="77777777" w:rsidR="001948B8" w:rsidRPr="009C4CC7" w:rsidRDefault="001948B8"/>
    <w:p w14:paraId="4E3485DD" w14:textId="3619DE6A" w:rsidR="009E3382" w:rsidRPr="009C4CC7" w:rsidRDefault="00000000" w:rsidP="00153474">
      <w:pPr>
        <w:ind w:firstLine="0"/>
      </w:pPr>
      <w:r w:rsidRPr="009C4CC7">
        <w:rPr>
          <w:i/>
          <w:iCs/>
        </w:rPr>
        <w:t>B. Mad: Psychiatric Taxonomy</w:t>
      </w:r>
    </w:p>
    <w:p w14:paraId="5000532A" w14:textId="6BA02CFE" w:rsidR="009E3382" w:rsidRPr="009C4CC7" w:rsidRDefault="00000000">
      <w:r w:rsidRPr="009C4CC7">
        <w:t>The Diagnostic and Statistical Manual of Mental Disorders is the classificatory apparatus in its most procedurally elaborate form.</w:t>
      </w:r>
      <w:r w:rsidRPr="009C4CC7">
        <w:rPr>
          <w:rStyle w:val="FootnoteReference1"/>
        </w:rPr>
        <w:footnoteReference w:id="24"/>
      </w:r>
      <w:r w:rsidRPr="009C4CC7">
        <w:t xml:space="preserve"> The American Psychiatric Association — the authorized body — establishes diagnostic criteria. Licensed clinicians</w:t>
      </w:r>
      <w:r w:rsidR="000B7FC2" w:rsidRPr="009C4CC7">
        <w:t xml:space="preserve">, </w:t>
      </w:r>
      <w:r w:rsidRPr="009C4CC7">
        <w:t>the professional gatekeepers</w:t>
      </w:r>
      <w:r w:rsidR="000B7FC2" w:rsidRPr="009C4CC7">
        <w:t xml:space="preserve">, </w:t>
      </w:r>
      <w:r w:rsidRPr="009C4CC7">
        <w:t>apply those criteria through clinical judgment</w:t>
      </w:r>
      <w:r w:rsidR="009F481D" w:rsidRPr="009C4CC7">
        <w:t>.</w:t>
      </w:r>
      <w:r w:rsidRPr="009C4CC7">
        <w:t xml:space="preserve"> The manual is explicit about the authority gate: "These criteria are meant to be used by trained professionals using clinical judgment" and "the use of DSM by nonclinical, nonmedical, or otherwise insufficiently trained individuals is not advised."</w:t>
      </w:r>
      <w:r w:rsidRPr="009C4CC7">
        <w:rPr>
          <w:rStyle w:val="FootnoteReference1"/>
        </w:rPr>
        <w:footnoteReference w:id="25"/>
      </w:r>
      <w:r w:rsidRPr="009C4CC7">
        <w:t xml:space="preserve"> The gate is not merely practical — it is epistemic. The DSM does not just say that clinical training is helpful for diagnosis; it says that diagnosis without clinical training should not be attempted. The </w:t>
      </w:r>
      <w:r w:rsidRPr="009C4CC7">
        <w:lastRenderedPageBreak/>
        <w:t>capacity to classify is itself classified: only certain subjects are authorized to produce knowledge about other subjects.</w:t>
      </w:r>
    </w:p>
    <w:p w14:paraId="378350F8" w14:textId="127E8DFB" w:rsidR="009E3382" w:rsidRPr="009C4CC7" w:rsidRDefault="00000000">
      <w:r w:rsidRPr="009C4CC7">
        <w:t>The subordination of self-report is built into the diagnostic architecture. The DSM instructs clinicians that "[</w:t>
      </w:r>
      <w:proofErr w:type="gramStart"/>
      <w:r w:rsidRPr="009C4CC7">
        <w:t>t]he</w:t>
      </w:r>
      <w:proofErr w:type="gramEnd"/>
      <w:r w:rsidRPr="009C4CC7">
        <w:t xml:space="preserve"> subject may be unable to provide reliable self-report" and that "[o]</w:t>
      </w:r>
      <w:proofErr w:type="spellStart"/>
      <w:r w:rsidRPr="009C4CC7">
        <w:t>bservable</w:t>
      </w:r>
      <w:proofErr w:type="spellEnd"/>
      <w:r w:rsidRPr="009C4CC7">
        <w:t xml:space="preserve"> behavior must be interpreted by qualified professionals."</w:t>
      </w:r>
      <w:r w:rsidRPr="009C4CC7">
        <w:rPr>
          <w:rStyle w:val="FootnoteReference1"/>
        </w:rPr>
        <w:footnoteReference w:id="26"/>
      </w:r>
      <w:r w:rsidRPr="009C4CC7">
        <w:t xml:space="preserve"> The patient's subjective experience is systematically weighed against — and subordinated to — "objective clinical criteria." The Clinician-Rated Dimensions of Psychosis Symptom Severity scale formalizes this hierarchy: an eight-item instrument completed entirely by the clinician, rating the patient's experience over the prior seven days. The patient is the object of measurement. The clinician is </w:t>
      </w:r>
      <w:r w:rsidR="00311D0F" w:rsidRPr="009C4CC7">
        <w:t>a</w:t>
      </w:r>
      <w:r w:rsidRPr="009C4CC7">
        <w:t xml:space="preserve"> measuring instrument. This arrangement is not presented as a political choice. It is presented as clinical necessity — and in some cases, it may be. But the structure is identical to the classificatory apparatus operating in every other domain this paper examines: the subject's account is subordinated to the professional's account, and the subordination is described as methodological rather than political.</w:t>
      </w:r>
    </w:p>
    <w:p w14:paraId="43C60459" w14:textId="4C97E098" w:rsidR="009E3382" w:rsidRPr="009C4CC7" w:rsidRDefault="00000000">
      <w:r w:rsidRPr="009C4CC7">
        <w:t xml:space="preserve">But it is in the self-sealing trap that psychiatric classification reveals its deepest structural feature. </w:t>
      </w:r>
      <w:r w:rsidR="00311D0F" w:rsidRPr="009C4CC7">
        <w:t>DSM</w:t>
      </w:r>
      <w:r w:rsidRPr="009C4CC7">
        <w:t xml:space="preserve">-5 identifies "lack of </w:t>
      </w:r>
      <w:r w:rsidR="00311D0F" w:rsidRPr="009C4CC7">
        <w:t>insight”</w:t>
      </w:r>
      <w:r w:rsidRPr="009C4CC7">
        <w:t xml:space="preserve"> termed anosognosia</w:t>
      </w:r>
      <w:r w:rsidR="00311D0F" w:rsidRPr="009C4CC7">
        <w:t xml:space="preserve">: </w:t>
      </w:r>
      <w:r w:rsidRPr="009C4CC7">
        <w:t>a symptom of schizophrenia rather than a coping strategy or a reasoned disagreement with the diagnosis.</w:t>
      </w:r>
      <w:r w:rsidRPr="009C4CC7">
        <w:rPr>
          <w:rStyle w:val="FootnoteReference1"/>
        </w:rPr>
        <w:footnoteReference w:id="27"/>
      </w:r>
      <w:r w:rsidRPr="009C4CC7">
        <w:t xml:space="preserve"> A patient who says "I am not ill" is not offering testimony to be weighed. She is exhibiting </w:t>
      </w:r>
      <w:r w:rsidR="00D213BB" w:rsidRPr="009C4CC7">
        <w:t>symptoms</w:t>
      </w:r>
      <w:r w:rsidRPr="009C4CC7">
        <w:t xml:space="preserve"> of the illness being denied. The structure is recursive: the diagnosis predicts that the patient will deny the diagnosis, and the denial is catalogued as confirmation. The patient's rational argument against diagnosis can </w:t>
      </w:r>
      <w:r w:rsidRPr="009C4CC7">
        <w:lastRenderedPageBreak/>
        <w:t>be reframed as "</w:t>
      </w:r>
      <w:r w:rsidR="00D213BB" w:rsidRPr="009C4CC7">
        <w:t>intellectualization”</w:t>
      </w:r>
      <w:r w:rsidRPr="009C4CC7">
        <w:t xml:space="preserve"> a defense mechanism that itself becomes diagnostic evidence. The patient who argues coherently against the diagnosis demonstrates "high-functioning" illness. The patient who argues incoherently confirms the diagnosis directly. The patient who agrees with the diagnosis confirms it. The patient who disputes the diagnosis confirms it. No testimony escapes the apparatus</w:t>
      </w:r>
      <w:r w:rsidR="00646D55" w:rsidRPr="009C4CC7">
        <w:t>!</w:t>
      </w:r>
    </w:p>
    <w:p w14:paraId="1EA1A466" w14:textId="77777777" w:rsidR="009E3382" w:rsidRPr="009C4CC7" w:rsidRDefault="00000000">
      <w:r w:rsidRPr="009C4CC7">
        <w:t>Miranda Fricker's concept of testimonial injustice illuminates what is happening here: a systematic deflation of the speaker's credibility driven not by the content of their testimony but by their identity — in this case, their identity as a diagnosed or diagnosable subject. The psychiatric apparatus converts identity-based credibility deflation into clinical methodology. The patient's words are not disbelieved because they are unpersuasive. They are disbelieved because they come from a patient.</w:t>
      </w:r>
    </w:p>
    <w:p w14:paraId="3A2C9D45" w14:textId="61674ABA" w:rsidR="009E3382" w:rsidRPr="009C4CC7" w:rsidRDefault="00000000">
      <w:r w:rsidRPr="009C4CC7">
        <w:t xml:space="preserve">This is not an incidental feature of the DSM. It is </w:t>
      </w:r>
      <w:r w:rsidR="002748D8" w:rsidRPr="009C4CC7">
        <w:t xml:space="preserve">load </w:t>
      </w:r>
      <w:r w:rsidR="00B553D9" w:rsidRPr="009C4CC7">
        <w:t>bared</w:t>
      </w:r>
      <w:r w:rsidRPr="009C4CC7">
        <w:t>. The DSM-5 states that "[l]ack of insight is the most common predictor of nonadherence to treatment" and notes that "obtaining consent for treatment can be challenging with patients who lack insight into their illness."</w:t>
      </w:r>
      <w:r w:rsidRPr="009C4CC7">
        <w:rPr>
          <w:rStyle w:val="FootnoteReference1"/>
        </w:rPr>
        <w:footnoteReference w:id="28"/>
      </w:r>
      <w:r w:rsidRPr="009C4CC7">
        <w:t xml:space="preserve"> The self-sealing trap does not merely classify — it authorizes intervention over the subject's objection, converting the subject's resistance into further evidence justifying the intervention they resist. In forensic contexts, the stakes are even higher: the DSM explicitly acknowledges the "imperfect fit between questions of ultimate concern to the law and the information contained in a clinical diagnosis," yet psychiatric classification routinely informs competency determinations, involuntary commitment proceedings, and criminal responsibility assessments. The apparatus crosses from clinical to legal domains, carrying its self-sealing logic with it.</w:t>
      </w:r>
    </w:p>
    <w:p w14:paraId="1FDEDE0E" w14:textId="408EDB78" w:rsidR="009D5334" w:rsidRPr="009C4CC7" w:rsidRDefault="00000000" w:rsidP="00A724A4">
      <w:r w:rsidRPr="009C4CC7">
        <w:lastRenderedPageBreak/>
        <w:t>The mutability of psychiatric categories provides independent evidence of their political character. Homosexuality was listed as a mental disorder in the DSM until 1973, when it was removed not because of new empirical evidence about homosexuality itself but because of political mobilization by gay rights organizations and shifting professional opinion.</w:t>
      </w:r>
      <w:r w:rsidRPr="009C4CC7">
        <w:rPr>
          <w:rStyle w:val="FootnoteReference1"/>
        </w:rPr>
        <w:footnoteReference w:id="29"/>
      </w:r>
      <w:r w:rsidRPr="009C4CC7">
        <w:t xml:space="preserve"> Gender Identity Disorder appeared in the DSM-IV and was reclassified as Gender Dysphoria in the DSM-5 — the same experience, reclassified because the prior classification was recognized as stigmatizing. </w:t>
      </w:r>
      <w:proofErr w:type="spellStart"/>
      <w:r w:rsidRPr="009C4CC7">
        <w:t>Drapetomania</w:t>
      </w:r>
      <w:proofErr w:type="spellEnd"/>
      <w:r w:rsidRPr="009C4CC7">
        <w:t xml:space="preserve"> — the </w:t>
      </w:r>
      <w:r w:rsidR="000A5BF8" w:rsidRPr="009C4CC7">
        <w:t>fraudulent idea that it was a</w:t>
      </w:r>
      <w:r w:rsidRPr="009C4CC7">
        <w:t xml:space="preserve"> mental illness </w:t>
      </w:r>
      <w:r w:rsidR="000A5BF8" w:rsidRPr="009C4CC7">
        <w:t xml:space="preserve">for </w:t>
      </w:r>
      <w:r w:rsidRPr="009C4CC7">
        <w:t xml:space="preserve">enslaved people to </w:t>
      </w:r>
      <w:r w:rsidR="000A5BF8" w:rsidRPr="009C4CC7">
        <w:t xml:space="preserve">seek to </w:t>
      </w:r>
      <w:r w:rsidRPr="009C4CC7">
        <w:t>escape bondage, proposed by Samuel Cartwright in 1851 — was once a recognized diagnosis.</w:t>
      </w:r>
      <w:r w:rsidRPr="009C4CC7">
        <w:rPr>
          <w:rStyle w:val="FootnoteReference1"/>
        </w:rPr>
        <w:footnoteReference w:id="30"/>
      </w:r>
      <w:r w:rsidRPr="009C4CC7">
        <w:t xml:space="preserve"> Its eventual disappearance from medical taxonomy required not new evidence about enslaved people's neurology but a political transformation that made the diagnosis unsustainable. </w:t>
      </w:r>
      <w:proofErr w:type="spellStart"/>
      <w:r w:rsidRPr="009C4CC7">
        <w:t>Drapetomania</w:t>
      </w:r>
      <w:proofErr w:type="spellEnd"/>
      <w:r w:rsidRPr="009C4CC7">
        <w:t xml:space="preserve"> is also the SST in its most politically naked form: the enslaved person's desire for freedom was itself the symptom. The "treatment" Cartwright prescribed was whipping. If these categories were natural kinds — stable features of the world awaiting discovery — they would not require periodic political revision. </w:t>
      </w:r>
      <w:r w:rsidR="00A724A4" w:rsidRPr="009C4CC7">
        <w:t>The</w:t>
      </w:r>
      <w:r w:rsidRPr="009C4CC7">
        <w:t xml:space="preserve"> history </w:t>
      </w:r>
      <w:r w:rsidR="009D5334" w:rsidRPr="009C4CC7">
        <w:t>itself is</w:t>
      </w:r>
      <w:r w:rsidRPr="009C4CC7">
        <w:t xml:space="preserve"> </w:t>
      </w:r>
      <w:r w:rsidR="009D5334" w:rsidRPr="009C4CC7">
        <w:t>evidence</w:t>
      </w:r>
      <w:r w:rsidRPr="009C4CC7">
        <w:t xml:space="preserve"> that psychiatric classification is governance, not description.</w:t>
      </w:r>
    </w:p>
    <w:p w14:paraId="21C0C112" w14:textId="7F73D2B5" w:rsidR="009E3382" w:rsidRPr="009C4CC7" w:rsidRDefault="00000000" w:rsidP="00E529BC">
      <w:pPr>
        <w:ind w:firstLine="0"/>
      </w:pPr>
      <w:r w:rsidRPr="009C4CC7">
        <w:rPr>
          <w:i/>
          <w:iCs/>
        </w:rPr>
        <w:lastRenderedPageBreak/>
        <w:t>C. Trans: Legal Recognition</w:t>
      </w:r>
    </w:p>
    <w:p w14:paraId="7ABB90B9" w14:textId="48DA7A20" w:rsidR="009E3382" w:rsidRPr="009C4CC7" w:rsidRDefault="00000000">
      <w:r w:rsidRPr="009C4CC7">
        <w:t>The psychiatric domain demonstrates the apparatus in its most procedurally elaborate form</w:t>
      </w:r>
      <w:r w:rsidR="006A0B76" w:rsidRPr="009C4CC7">
        <w:t>. T</w:t>
      </w:r>
      <w:r w:rsidRPr="009C4CC7">
        <w:t xml:space="preserve">he form </w:t>
      </w:r>
      <w:r w:rsidR="003763A4" w:rsidRPr="009C4CC7">
        <w:t>is most</w:t>
      </w:r>
      <w:r w:rsidRPr="009C4CC7">
        <w:t xml:space="preserve"> insulated by the language of scientific objectivity. The trans legal recognition domain strips some of that insulation away, revealing the apparatus in a more politically legible configuration. The criteria shift from clinical to administrative, the gatekeepers from psychiatrists to panels and government officials, and the self-sealing trap from </w:t>
      </w:r>
      <w:r w:rsidR="006A0B76" w:rsidRPr="009C4CC7">
        <w:t>symptomizing</w:t>
      </w:r>
      <w:r w:rsidRPr="009C4CC7">
        <w:t xml:space="preserve"> to bureaucratic exclusion. But the five-part structure is identical.</w:t>
      </w:r>
    </w:p>
    <w:p w14:paraId="08AC0A76" w14:textId="77777777" w:rsidR="009E3382" w:rsidRPr="009C4CC7" w:rsidRDefault="00000000">
      <w:r w:rsidRPr="009C4CC7">
        <w:t>If psychiatric taxonomy is the apparatus in its most procedurally elaborate form, legal gender recognition is the apparatus in its most personally invasive. Here, the subject's most intimate self-knowledge — their understanding of who they are — is submitted to institutional evaluation and either validated or denied through administrative process.</w:t>
      </w:r>
      <w:r w:rsidRPr="009C4CC7">
        <w:rPr>
          <w:rStyle w:val="FootnoteReference1"/>
        </w:rPr>
        <w:footnoteReference w:id="31"/>
      </w:r>
    </w:p>
    <w:p w14:paraId="4B1A1115" w14:textId="77777777" w:rsidR="009E3382" w:rsidRPr="009C4CC7" w:rsidRDefault="00000000">
      <w:r w:rsidRPr="009C4CC7">
        <w:t>The United Kingdom's Gender Recognition Act 2004 established a panel model. An applicant must provide two medical reports — one from a practitioner in the field of gender dysphoria — and demonstrate that they have lived in their "acquired gender" for at least two years and intend to do so until death.</w:t>
      </w:r>
      <w:r w:rsidRPr="009C4CC7">
        <w:rPr>
          <w:rStyle w:val="FootnoteReference1"/>
        </w:rPr>
        <w:footnoteReference w:id="32"/>
      </w:r>
      <w:r w:rsidRPr="009C4CC7">
        <w:t xml:space="preserve"> Self-declaration is insufficient. The applicant's self-knowledge must be corroborated by professional assessment, submitted to a Gender Recognition Panel, and certified through administrative determination. The panel — composed of people who are not the applicant and who do not share the applicant's experience — decides whether the applicant's gender is real. The two-year "</w:t>
      </w:r>
      <w:r w:rsidRPr="009C4CC7">
        <w:rPr>
          <w:i/>
          <w:iCs/>
        </w:rPr>
        <w:t>lived experience</w:t>
      </w:r>
      <w:r w:rsidRPr="009C4CC7">
        <w:t>" requirement adds a temporal dimension to the gatekeeping: the applicant must perform their gender in a way that satisfies institutional observers for a sustained period before the institution will recognize what the applicant has known all along.</w:t>
      </w:r>
    </w:p>
    <w:p w14:paraId="420E1FA8" w14:textId="77777777" w:rsidR="009E3382" w:rsidRPr="009C4CC7" w:rsidRDefault="00000000">
      <w:r w:rsidRPr="009C4CC7">
        <w:lastRenderedPageBreak/>
        <w:t>Dean Spade has demonstrated that these administrative requirements are not incidental burdens but the primary mechanism through which trans people encounter state violence. Trans people's classification problems are concentrated in three interlocking areas: identity documentation, sex-segregated facilities, and access to healthcare. In each area, the classificatory apparatus determines whether the trans person's self-account will be recognized — and in each area, institutional gatekeepers hold the power to deny that recognition through "</w:t>
      </w:r>
      <w:r w:rsidRPr="009C4CC7">
        <w:rPr>
          <w:i/>
          <w:iCs/>
        </w:rPr>
        <w:t>neutral</w:t>
      </w:r>
      <w:r w:rsidRPr="009C4CC7">
        <w:t>" administrative processes.</w:t>
      </w:r>
      <w:r w:rsidRPr="009C4CC7">
        <w:rPr>
          <w:rStyle w:val="FootnoteReference1"/>
        </w:rPr>
        <w:footnoteReference w:id="33"/>
      </w:r>
    </w:p>
    <w:p w14:paraId="32E13F62" w14:textId="5C308F64" w:rsidR="009E3382" w:rsidRPr="009C4CC7" w:rsidRDefault="00000000">
      <w:r w:rsidRPr="009C4CC7">
        <w:t>The apparatus has since been articulated more bluntly. Executive Order 14168, issued in January 2025, defines gender identity as a fully internal and subjective sense of self, disconnected from biological reality and sex and existing on an infinite continuum, that does not provide a meaningful basis for identification and cannot be recognized as a replacement for sex.</w:t>
      </w:r>
      <w:r w:rsidRPr="009C4CC7">
        <w:rPr>
          <w:rStyle w:val="FootnoteReference1"/>
        </w:rPr>
        <w:footnoteReference w:id="34"/>
      </w:r>
      <w:r w:rsidRPr="009C4CC7">
        <w:t xml:space="preserve"> The language is striking for its explicitness: the subject's self-knowledge is not merely insufficient — it is affirmatively "disconnected from biological reality." The order does not say that gender identity is difficult to verify or that current methods of verification are inadequate. It says that gender identity, as a category, "does not provide a meaningful basis for identification." The subject's knowledge of themselves is not just subordinated — it is ontologically excluded from the domain of meaningful evidence.</w:t>
      </w:r>
    </w:p>
    <w:p w14:paraId="064953CB" w14:textId="3C71B8AA" w:rsidR="009E3382" w:rsidRPr="009C4CC7" w:rsidRDefault="00000000">
      <w:r w:rsidRPr="009C4CC7">
        <w:t xml:space="preserve">The order defines sex as immutable and biological, determined "at conception," and states that it "is not a synonym for and does not include the concept of gender identity." Federal agencies are directed to recognize only two sexes, replace all instances of "gender" with "sex" in official </w:t>
      </w:r>
      <w:r w:rsidRPr="009C4CC7">
        <w:lastRenderedPageBreak/>
        <w:t>materials, and cease allowing gender self-identification on federal documents including passports.</w:t>
      </w:r>
      <w:r w:rsidR="00D412E1" w:rsidRPr="009C4CC7">
        <w:rPr>
          <w:rStyle w:val="FootnoteReference"/>
        </w:rPr>
        <w:footnoteReference w:id="35"/>
      </w:r>
      <w:r w:rsidRPr="009C4CC7">
        <w:t xml:space="preserve"> The administrative apparatus is deployed to enforce the classificatory determination through every bureaucratic touchpoint a trans person </w:t>
      </w:r>
      <w:r w:rsidR="00BB6CF3" w:rsidRPr="009C4CC7">
        <w:t>encounter</w:t>
      </w:r>
      <w:r w:rsidRPr="009C4CC7">
        <w:t>.</w:t>
      </w:r>
    </w:p>
    <w:p w14:paraId="46204745" w14:textId="283110DF" w:rsidR="009E3382" w:rsidRPr="009C4CC7" w:rsidRDefault="00000000">
      <w:r w:rsidRPr="009C4CC7">
        <w:t>The self-sealing trap operates here with clarity. The trans person's self-declaration is "not sufficient absent corroborating professional assessment."</w:t>
      </w:r>
      <w:r w:rsidRPr="009C4CC7">
        <w:rPr>
          <w:rStyle w:val="FootnoteReference1"/>
        </w:rPr>
        <w:footnoteReference w:id="36"/>
      </w:r>
      <w:r w:rsidRPr="009C4CC7">
        <w:t xml:space="preserve"> Self-knowledge is inadmissible without institutional certification. In the DSM-IV, the very certainty of one's gender identity — when it diverged from assigned sex — was classified as Gender Identity Disorder: the condition of knowing who you are was itself the pathology.</w:t>
      </w:r>
      <w:r w:rsidRPr="009C4CC7">
        <w:rPr>
          <w:rStyle w:val="FootnoteReference1"/>
        </w:rPr>
        <w:footnoteReference w:id="37"/>
      </w:r>
      <w:r w:rsidRPr="009C4CC7">
        <w:t xml:space="preserve"> The diagnostic criteria located the disorder in the identity itself — in "a strong and persistent cross-gender identification" — rather than in the social conditions that produced distress. Knowing who you are, with certainty and persistence, was the disease. Even after reclassification as Gender Dysphoria in the DSM-5 — a revision that shifted the locus of pathology from identity to distress — access to legal gender recognition in most jurisdictions still requires professional validation. The reclassification changed the label without dismantling the gate. The person whose gender is at issue is precisely the person whose testimony about their gender is considered unreliable.</w:t>
      </w:r>
    </w:p>
    <w:p w14:paraId="5F5B0891" w14:textId="77777777" w:rsidR="009E3382" w:rsidRDefault="00000000">
      <w:r w:rsidRPr="009C4CC7">
        <w:t xml:space="preserve">Paisley Currah has shown that sex classification in the United States operates not as a neutral description of biological reality but as a tool of governance and surveillance. The state's interest in gender classification is not epistemological — it does not seek to understand gender — but administrative: it seeks to sort bodies into categories for purposes of regulation, resource </w:t>
      </w:r>
      <w:r w:rsidRPr="009C4CC7">
        <w:lastRenderedPageBreak/>
        <w:t>allocation, and social control.</w:t>
      </w:r>
      <w:r w:rsidRPr="009C4CC7">
        <w:rPr>
          <w:rStyle w:val="FootnoteReference1"/>
        </w:rPr>
        <w:footnoteReference w:id="38"/>
      </w:r>
      <w:r w:rsidRPr="009C4CC7">
        <w:t xml:space="preserve"> The variation across jurisdictions makes this visible. Argentina enacted self-identification in 2012, requiring no medical or judicial intervention — the applicant's declaration is sufficient. Denmark followed in 2014, Malta in 2015. Other jurisdictions require surgical intervention, hormonal treatment, or psychiatric certification. Still others prohibit recognition entirely. Each jurisdiction presents its own standard as the correct description of gender — as though it were discovering a fact about the applicant rather than exercising power over them. If the criteria were tracking a stable natural kind, they would not vary by jurisdiction. They vary because they are political instruments, not scientific measurements.</w:t>
      </w:r>
    </w:p>
    <w:p w14:paraId="180F4DBF" w14:textId="77777777" w:rsidR="00A724A4" w:rsidRPr="009C4CC7" w:rsidRDefault="00A724A4"/>
    <w:p w14:paraId="42648F19" w14:textId="46D5E78A" w:rsidR="009E3382" w:rsidRPr="009C4CC7" w:rsidRDefault="00000000" w:rsidP="001956C5">
      <w:pPr>
        <w:ind w:firstLine="0"/>
        <w:rPr>
          <w:i/>
          <w:iCs/>
        </w:rPr>
      </w:pPr>
      <w:r w:rsidRPr="009C4CC7">
        <w:rPr>
          <w:i/>
          <w:iCs/>
        </w:rPr>
        <w:t>D. Animal: Personhood Litigatio</w:t>
      </w:r>
      <w:r w:rsidR="001956C5" w:rsidRPr="009C4CC7">
        <w:rPr>
          <w:i/>
          <w:iCs/>
        </w:rPr>
        <w:t>n</w:t>
      </w:r>
    </w:p>
    <w:p w14:paraId="26D2858E" w14:textId="77777777" w:rsidR="009E3382" w:rsidRPr="009C4CC7" w:rsidRDefault="00000000">
      <w:r w:rsidRPr="009C4CC7">
        <w:t>The psychiatric and trans domains demonstrate the apparatus operating against human subjects — subjects who can, at least in principle, articulate their experience in the institution's own language. The animal domain removes this possibility. The animal cannot petition, cannot testify, cannot argue before the panel that evaluates it. This constraint does not disable the apparatus — it reveals the apparatus's structural independence from the subject's participation. The apparatus does not need the subject's testimony to operate. It needs only the subject's existence as an object of classification.</w:t>
      </w:r>
    </w:p>
    <w:p w14:paraId="755A5965" w14:textId="77777777" w:rsidR="009E3382" w:rsidRPr="009C4CC7" w:rsidRDefault="00000000">
      <w:r w:rsidRPr="009C4CC7">
        <w:t xml:space="preserve">The animal personhood cases present the apparatus in its most jurisdictionally constrained form. Where psychiatric taxonomy and gender recognition involve ongoing administrative </w:t>
      </w:r>
      <w:r w:rsidRPr="009C4CC7">
        <w:lastRenderedPageBreak/>
        <w:t>regimes, animal personhood has been litigated as a direct constitutional question — and has been met with a wall of categorical denial.</w:t>
      </w:r>
      <w:r w:rsidRPr="009C4CC7">
        <w:rPr>
          <w:rStyle w:val="FootnoteReference1"/>
        </w:rPr>
        <w:footnoteReference w:id="39"/>
      </w:r>
    </w:p>
    <w:p w14:paraId="26247C77" w14:textId="32C9E8B9" w:rsidR="009E3382" w:rsidRPr="009C4CC7" w:rsidRDefault="00000000">
      <w:r w:rsidRPr="009C4CC7">
        <w:t xml:space="preserve">The paradigm case is </w:t>
      </w:r>
      <w:proofErr w:type="spellStart"/>
      <w:r w:rsidRPr="009C4CC7">
        <w:rPr>
          <w:i/>
        </w:rPr>
        <w:t>NhRP</w:t>
      </w:r>
      <w:proofErr w:type="spellEnd"/>
      <w:r w:rsidRPr="009C4CC7">
        <w:rPr>
          <w:i/>
        </w:rPr>
        <w:t xml:space="preserve"> v. Breheny</w:t>
      </w:r>
      <w:r w:rsidRPr="009C4CC7">
        <w:t>. Happy the elephant had passed a mirror self-recognition test — a cognitive assessment so demanding that it is failed by most nonhuman species</w:t>
      </w:r>
      <w:r w:rsidR="00D56E0F" w:rsidRPr="009C4CC7">
        <w:t xml:space="preserve">. </w:t>
      </w:r>
      <w:r w:rsidRPr="009C4CC7">
        <w:t>The Nonhuman Rights Project sought habeas corpus relief, arguing that an entity with demonstrated self-awareness was being unlawfully confined</w:t>
      </w:r>
      <w:r w:rsidRPr="009C4CC7">
        <w:rPr>
          <w:i/>
          <w:iCs/>
        </w:rPr>
        <w:t>.</w:t>
      </w:r>
      <w:r w:rsidR="00D56E0F" w:rsidRPr="009C4CC7">
        <w:rPr>
          <w:i/>
          <w:iCs/>
        </w:rPr>
        <w:t xml:space="preserve"> Id.</w:t>
      </w:r>
      <w:r w:rsidRPr="009C4CC7">
        <w:t xml:space="preserve"> The New York Court of Appeals conceded Happy's cognitive complexity. It did not matter.</w:t>
      </w:r>
      <w:r w:rsidRPr="009C4CC7">
        <w:rPr>
          <w:rStyle w:val="FootnoteReference1"/>
        </w:rPr>
        <w:footnoteReference w:id="40"/>
      </w:r>
      <w:r w:rsidRPr="009C4CC7">
        <w:t xml:space="preserve"> The court declined to reach the cognition question. Sentience, the court held, was not directly relevant to the legal determination. What mattered was whether Happy could bear legal duties — submit to societal responsibilities, be held legally accountable for her actions. Since she could not, personhood was unavailable.</w:t>
      </w:r>
    </w:p>
    <w:p w14:paraId="2F54849B" w14:textId="78054350" w:rsidR="00E17275" w:rsidRPr="009C4CC7" w:rsidRDefault="00000000" w:rsidP="00E17275">
      <w:r w:rsidRPr="009C4CC7">
        <w:t xml:space="preserve">The reasoning deserves close attention. The court did not say that Happy was insufficiently cognitive. It said that cognition was the wrong question. "Although nonhuman animals are not </w:t>
      </w:r>
      <w:proofErr w:type="gramStart"/>
      <w:r w:rsidRPr="009C4CC7">
        <w:t>persons</w:t>
      </w:r>
      <w:proofErr w:type="gramEnd"/>
      <w:r w:rsidRPr="009C4CC7">
        <w:t xml:space="preserve"> to whom the writ of habeas corpus applies, the law already recognizes that they are not the equivalent of things or objects," the court wrote, then immediately added: </w:t>
      </w:r>
    </w:p>
    <w:p w14:paraId="497B535D" w14:textId="4F7DDAAC" w:rsidR="00E17275" w:rsidRPr="009C4CC7" w:rsidRDefault="00000000" w:rsidP="00E17275">
      <w:pPr>
        <w:spacing w:line="240" w:lineRule="auto"/>
        <w:ind w:left="720" w:firstLine="0"/>
      </w:pPr>
      <w:r w:rsidRPr="009C4CC7">
        <w:t>"</w:t>
      </w:r>
      <w:r w:rsidR="00E17275" w:rsidRPr="009C4CC7">
        <w:t xml:space="preserve">The selective capacity for autonomy, intelligence, and emotion of a particular nonhuman animal species is not a determinative factor in whether the writ is available as such factors are not what makes a person detained qualified to seek the writ. Rather, the great writ protects the right to liberty of humans because they are humans with certain fundamental liberty rights recognized by law.” </w:t>
      </w:r>
      <w:r w:rsidR="00E17275" w:rsidRPr="009C4CC7">
        <w:rPr>
          <w:i/>
          <w:iCs/>
        </w:rPr>
        <w:t>Id</w:t>
      </w:r>
      <w:r w:rsidR="00E17275" w:rsidRPr="009C4CC7">
        <w:t>. at 9.</w:t>
      </w:r>
    </w:p>
    <w:p w14:paraId="60C7B5F9" w14:textId="18949DD0" w:rsidR="009E3382" w:rsidRPr="009C4CC7" w:rsidRDefault="00000000" w:rsidP="00A724A4">
      <w:pPr>
        <w:ind w:firstLine="0"/>
      </w:pPr>
      <w:r w:rsidRPr="009C4CC7">
        <w:lastRenderedPageBreak/>
        <w:t xml:space="preserve">The acknowledgment and the denial coexist within the same paragraph. Happy is not a thing — but she is not a person. She has autonomy, intelligence, and </w:t>
      </w:r>
      <w:r w:rsidR="00740AAC" w:rsidRPr="009C4CC7">
        <w:t>emotions</w:t>
      </w:r>
      <w:r w:rsidRPr="009C4CC7">
        <w:t xml:space="preserve"> but these are not determinative. The apparatus concedes the evidence and rules it irrelevant.</w:t>
      </w:r>
    </w:p>
    <w:p w14:paraId="689CFC01" w14:textId="445A0324" w:rsidR="009E3382" w:rsidRPr="009C4CC7" w:rsidRDefault="00000000" w:rsidP="00152445">
      <w:r w:rsidRPr="009C4CC7">
        <w:t xml:space="preserve">The self-sealing trap </w:t>
      </w:r>
      <w:r w:rsidR="006113AA" w:rsidRPr="009C4CC7">
        <w:t xml:space="preserve">also </w:t>
      </w:r>
      <w:r w:rsidRPr="009C4CC7">
        <w:t>operates through progressive goalpost revision. The Nonhuman Rights Project presented evidence of cognition. The court responded that cognition was not the relevant criterion</w:t>
      </w:r>
      <w:r w:rsidR="007B38A2" w:rsidRPr="009C4CC7">
        <w:t xml:space="preserve">, but rather </w:t>
      </w:r>
      <w:r w:rsidRPr="009C4CC7">
        <w:t>capacity for duty-bearing was. If Happy could somehow demonstrate duty-bearing capacity, one suspects the criterion would shift again: to social contract participation, to linguistic competence, to whatever criterion the entity before the court cannot satisfy. The Tommy the chimpanzee case articulated the pattern explicitly: the court acknowledged that chimpanzees exhibit highly complex cognitive functions such as autonomy, self-awareness and self-determination but held that their inability to bear any legal responsibilities and societal duties</w:t>
      </w:r>
      <w:r w:rsidR="00ED5A05" w:rsidRPr="009C4CC7">
        <w:t xml:space="preserve"> </w:t>
      </w:r>
      <w:r w:rsidRPr="009C4CC7">
        <w:t>rendered personhood inappropriate.</w:t>
      </w:r>
      <w:r w:rsidRPr="009C4CC7">
        <w:rPr>
          <w:rStyle w:val="FootnoteReference1"/>
        </w:rPr>
        <w:footnoteReference w:id="41"/>
      </w:r>
      <w:r w:rsidRPr="009C4CC7">
        <w:t xml:space="preserve"> The Colorado court was blunt: "</w:t>
      </w:r>
      <w:r w:rsidR="008F3CC5" w:rsidRPr="009C4CC7">
        <w:t>[s]</w:t>
      </w:r>
      <w:proofErr w:type="spellStart"/>
      <w:r w:rsidR="004B52C6" w:rsidRPr="009C4CC7">
        <w:t>imply</w:t>
      </w:r>
      <w:proofErr w:type="spellEnd"/>
      <w:r w:rsidR="004B52C6" w:rsidRPr="009C4CC7">
        <w:t xml:space="preserve"> put, no Colorado court, nor any other court in any other jurisdiction in the United States has ever recognized the legal </w:t>
      </w:r>
      <w:r w:rsidR="00152445" w:rsidRPr="009C4CC7">
        <w:t>‘</w:t>
      </w:r>
      <w:r w:rsidR="004B52C6" w:rsidRPr="009C4CC7">
        <w:t>personhood</w:t>
      </w:r>
      <w:r w:rsidR="00152445" w:rsidRPr="009C4CC7">
        <w:t>’</w:t>
      </w:r>
      <w:r w:rsidR="004B52C6" w:rsidRPr="009C4CC7">
        <w:t xml:space="preserve"> of any nonhuman species</w:t>
      </w:r>
      <w:r w:rsidRPr="009C4CC7">
        <w:t>."</w:t>
      </w:r>
      <w:r w:rsidR="004B52C6" w:rsidRPr="009C4CC7">
        <w:t xml:space="preserve"> </w:t>
      </w:r>
      <w:r w:rsidR="004B52C6" w:rsidRPr="009C4CC7">
        <w:rPr>
          <w:i/>
          <w:iCs/>
        </w:rPr>
        <w:t>Id</w:t>
      </w:r>
      <w:r w:rsidR="004B52C6" w:rsidRPr="009C4CC7">
        <w:t>. at 17.</w:t>
      </w:r>
      <w:r w:rsidRPr="009C4CC7">
        <w:t xml:space="preserve"> The absence of precedent was cited as the reason not to create precedent — a perfectly circular argument that ensures the status quo </w:t>
      </w:r>
      <w:r w:rsidR="004B52C6" w:rsidRPr="009C4CC7">
        <w:t>persists</w:t>
      </w:r>
      <w:r w:rsidRPr="009C4CC7">
        <w:t>.</w:t>
      </w:r>
    </w:p>
    <w:p w14:paraId="27874B26" w14:textId="77777777" w:rsidR="008475FB" w:rsidRDefault="00000000" w:rsidP="008475FB">
      <w:r w:rsidRPr="009C4CC7">
        <w:t xml:space="preserve">The pattern continues in real time. In January 2026, a Pennsylvania court issued the state's first habeas corpus order for nonhuman animals — the third such order in U.S. history — on behalf of African elephants held at the Pittsburgh Zoo. The order was dismissed weeks later, and the </w:t>
      </w:r>
      <w:proofErr w:type="spellStart"/>
      <w:r w:rsidRPr="009C4CC7">
        <w:t>NhRP</w:t>
      </w:r>
      <w:proofErr w:type="spellEnd"/>
      <w:r w:rsidRPr="009C4CC7">
        <w:t xml:space="preserve"> filed an immediate appeal. The apparatus operates: cognition is demonstrated, a hearing is granted, and then the framework reasserts itself.</w:t>
      </w:r>
    </w:p>
    <w:p w14:paraId="6BCAA529" w14:textId="704BD069" w:rsidR="009E3382" w:rsidRPr="009C4CC7" w:rsidRDefault="00000000" w:rsidP="008475FB">
      <w:r w:rsidRPr="009C4CC7">
        <w:lastRenderedPageBreak/>
        <w:t>The circularity runs deeper still. An animal cannot consent to legal proceedings — and therefore has no standing to contest its classification.</w:t>
      </w:r>
      <w:r w:rsidR="0056406E" w:rsidRPr="009C4CC7">
        <w:rPr>
          <w:rStyle w:val="FootnoteReference"/>
        </w:rPr>
        <w:footnoteReference w:id="42"/>
      </w:r>
      <w:r w:rsidRPr="009C4CC7">
        <w:t xml:space="preserve"> Having no standing, it cannot challenge the framework that denies standing. The apparatus is structurally irrefutable from the subject's position: the subject cannot enter the arena in which the question is being decided. A human advocate can petition on the animal's behalf, but the court can — and has — denied standing to the advocate as well, on the grounds that the advocate is not the party whose liberty is at stake. The common law's person-thing binary admits no intermediate category. An entity is either a rights-bearing person or an owned thing. There is no procedural mechanism for an entity classified as a thing to contest that classification from within the system.</w:t>
      </w:r>
    </w:p>
    <w:p w14:paraId="582F114D" w14:textId="1C8F30C3" w:rsidR="009E3382" w:rsidRPr="009C4CC7" w:rsidRDefault="00000000">
      <w:r w:rsidRPr="009C4CC7">
        <w:t xml:space="preserve">Federal animal law reinforces the apparatus through instrumental definition. The Animal Welfare Act defines animals by their </w:t>
      </w:r>
      <w:r w:rsidR="004216E4" w:rsidRPr="009C4CC7">
        <w:t>use “</w:t>
      </w:r>
      <w:r w:rsidRPr="009C4CC7">
        <w:t>for research, testing, experimentation, or exhibition purposes, or as a pet" — not by any inherent quality such as sentience or capacity for suffering.</w:t>
      </w:r>
      <w:r w:rsidRPr="009C4CC7">
        <w:rPr>
          <w:rStyle w:val="FootnoteReference1"/>
        </w:rPr>
        <w:footnoteReference w:id="43"/>
      </w:r>
      <w:r w:rsidRPr="009C4CC7">
        <w:t xml:space="preserve"> The definition is explicitly instrumental: what makes an entity an "animal" under the Act is not what it </w:t>
      </w:r>
      <w:r w:rsidR="004216E4" w:rsidRPr="009C4CC7">
        <w:t>is,</w:t>
      </w:r>
      <w:r w:rsidRPr="009C4CC7">
        <w:t xml:space="preserve"> but what it is used for. The Act excludes birds, rats of the genus Rattus, and mice of the genus Mus — not because these species lack sentience but because they are the </w:t>
      </w:r>
      <w:r w:rsidR="000E1E08" w:rsidRPr="009C4CC7">
        <w:t>most used</w:t>
      </w:r>
      <w:r w:rsidRPr="009C4CC7">
        <w:t xml:space="preserve"> laboratory animals and their inclusion would impose costs on the research industry. The criterion is economic utility, not biological capacity.</w:t>
      </w:r>
    </w:p>
    <w:p w14:paraId="20B7971C" w14:textId="0D36C14E" w:rsidR="009E3382" w:rsidRPr="009C4CC7" w:rsidRDefault="00000000">
      <w:r w:rsidRPr="009C4CC7">
        <w:lastRenderedPageBreak/>
        <w:t xml:space="preserve">Oregon has declared that "animals are sentient beings capable of experiencing pain, stress and </w:t>
      </w:r>
      <w:r w:rsidR="008A592B" w:rsidRPr="009C4CC7">
        <w:t>fear”</w:t>
      </w:r>
      <w:r w:rsidRPr="009C4CC7">
        <w:t xml:space="preserve"> and then exempted dehorning, docking, and castration, procedures performed on sentient beings without consent and often without anesthesia.</w:t>
      </w:r>
      <w:r w:rsidRPr="009C4CC7">
        <w:rPr>
          <w:rStyle w:val="FootnoteReference1"/>
        </w:rPr>
        <w:footnoteReference w:id="44"/>
      </w:r>
      <w:r w:rsidRPr="009C4CC7">
        <w:t xml:space="preserve"> The sentience finding does not override the property classification. Acknowledgment and subordination coexist: the animal's suffering is recognized and then rendered legally irrelevant. This is the apparatus at its most transparent — the institution states, in the same statutory framework, that animals can suffer and that their suffering does not change their legal status.</w:t>
      </w:r>
    </w:p>
    <w:p w14:paraId="74DB413D" w14:textId="77777777" w:rsidR="001E5389" w:rsidRPr="009C4CC7" w:rsidRDefault="001E5389"/>
    <w:p w14:paraId="3E2CC25F" w14:textId="55267243" w:rsidR="009E3382" w:rsidRPr="009C4CC7" w:rsidRDefault="00000000" w:rsidP="001956C5">
      <w:pPr>
        <w:ind w:firstLine="0"/>
      </w:pPr>
      <w:r w:rsidRPr="009C4CC7">
        <w:rPr>
          <w:i/>
          <w:iCs/>
        </w:rPr>
        <w:t>E. Inc.: Corporate Personhood — The Control Case</w:t>
      </w:r>
    </w:p>
    <w:p w14:paraId="56298F00" w14:textId="77777777" w:rsidR="009E3382" w:rsidRPr="009C4CC7" w:rsidRDefault="00000000">
      <w:r w:rsidRPr="009C4CC7">
        <w:t>If the classificatory apparatus tracked some objective property — sentience, cognition, moral status, capacity for suffering — it would apply its criteria uniformly. It does not. Corporate personhood reveals the apparatus operating in reverse: granting recognition without deliberation, without gatekeeping, without subordination of self-report, and without any of the scrutiny demanded of biological subjects. The corporate domain is this paper's control case — the domain that proves the apparatus is tracking power rather than capacity.</w:t>
      </w:r>
      <w:r w:rsidRPr="009C4CC7">
        <w:rPr>
          <w:rStyle w:val="FootnoteReference1"/>
        </w:rPr>
        <w:footnoteReference w:id="45"/>
      </w:r>
    </w:p>
    <w:p w14:paraId="26647536" w14:textId="77777777" w:rsidR="005B2931" w:rsidRPr="009C4CC7" w:rsidRDefault="00000000">
      <w:r w:rsidRPr="009C4CC7">
        <w:lastRenderedPageBreak/>
        <w:t xml:space="preserve">In </w:t>
      </w:r>
      <w:r w:rsidRPr="009C4CC7">
        <w:rPr>
          <w:i/>
        </w:rPr>
        <w:t>Santa Clara County v. Southern Pacific Railroad</w:t>
      </w:r>
      <w:r w:rsidRPr="009C4CC7">
        <w:t xml:space="preserve">, Chief Justice Waite announced before oral argument: </w:t>
      </w:r>
    </w:p>
    <w:p w14:paraId="02A3CD3A" w14:textId="424F2C36" w:rsidR="005B2931" w:rsidRPr="009C4CC7" w:rsidRDefault="00000000" w:rsidP="005B2931">
      <w:pPr>
        <w:spacing w:line="240" w:lineRule="auto"/>
        <w:ind w:left="720" w:right="720" w:firstLine="0"/>
      </w:pPr>
      <w:r w:rsidRPr="009C4CC7">
        <w:t xml:space="preserve">"The court does not wish to hear argument on the question whether the provision in the Fourteenth Amendment to the Constitution, which forbids a State to deny to any person within its jurisdiction the equal protection of the laws, applies to these corporations. We are </w:t>
      </w:r>
      <w:proofErr w:type="gramStart"/>
      <w:r w:rsidRPr="009C4CC7">
        <w:t>all of</w:t>
      </w:r>
      <w:proofErr w:type="gramEnd"/>
      <w:r w:rsidRPr="009C4CC7">
        <w:t xml:space="preserve"> the opinion that it does."</w:t>
      </w:r>
      <w:r w:rsidRPr="009C4CC7">
        <w:rPr>
          <w:rStyle w:val="FootnoteReference1"/>
        </w:rPr>
        <w:footnoteReference w:id="46"/>
      </w:r>
    </w:p>
    <w:p w14:paraId="6E3E7B56" w14:textId="59704DCC" w:rsidR="005B2931" w:rsidRPr="009C4CC7" w:rsidRDefault="00010DE6" w:rsidP="005B2931">
      <w:pPr>
        <w:spacing w:line="240" w:lineRule="auto"/>
        <w:ind w:left="720" w:right="720" w:firstLine="0"/>
      </w:pPr>
      <w:r w:rsidRPr="009C4CC7">
        <w:t>.</w:t>
      </w:r>
    </w:p>
    <w:p w14:paraId="135FE0B3" w14:textId="702CD2E7" w:rsidR="009E3382" w:rsidRPr="009C4CC7" w:rsidRDefault="00000000" w:rsidP="005B2931">
      <w:pPr>
        <w:ind w:firstLine="0"/>
      </w:pPr>
      <w:r w:rsidRPr="009C4CC7">
        <w:t>The headnote — written by the Reporter of Decisions, J.C. Bancroft Davis, a former railroad company president — recorded this statement as precedent. The Court's actual opinion, authored by Justice Harlan, did not address the Fourteenth Amendment question at all. The most consequential corporate personhood determination in American law was never deliberated — it was assumed. No sentience inquiry. No capacity evaluation. No examination of whether a corporation could bear duties, exhibit self-awareness, or demonstrate moral agency. The Fourteenth Amendment, ratified to protect formerly enslaved persons, was extended to corporations through a headnote.</w:t>
      </w:r>
      <w:r w:rsidRPr="009C4CC7">
        <w:rPr>
          <w:rStyle w:val="FootnoteReference1"/>
        </w:rPr>
        <w:footnoteReference w:id="47"/>
      </w:r>
    </w:p>
    <w:p w14:paraId="603BE381" w14:textId="28DE2A0C" w:rsidR="009E3382" w:rsidRPr="009C4CC7" w:rsidRDefault="00000000">
      <w:r w:rsidRPr="009C4CC7">
        <w:t>Adam Winkler has documented the two-hundred-year history of corporate constitutional rights litigation, showing that corporations employed strategies structurally parallel to civil rights movements — civil disobedience, test cases</w:t>
      </w:r>
      <w:r w:rsidR="008A592B" w:rsidRPr="009C4CC7">
        <w:t>, and novel legal claims</w:t>
      </w:r>
      <w:r w:rsidRPr="009C4CC7">
        <w:t xml:space="preserve"> to reshape the law in their favor.</w:t>
      </w:r>
      <w:r w:rsidRPr="009C4CC7">
        <w:rPr>
          <w:rStyle w:val="FootnoteReference1"/>
        </w:rPr>
        <w:footnoteReference w:id="48"/>
      </w:r>
      <w:r w:rsidRPr="009C4CC7">
        <w:t xml:space="preserve"> The crucial difference is the starting position. Civil rights movements operate from </w:t>
      </w:r>
      <w:r w:rsidRPr="009C4CC7">
        <w:lastRenderedPageBreak/>
        <w:t>subordination, seeking recognition from institutions that have denied it. Corporations operate from power, seeking recognition that consolidates advantages they already hold. The apparatus responds accordingly: where subordinated groups must demonstrate capacity to earn recognition, corporations receive recognition by asserting it.</w:t>
      </w:r>
    </w:p>
    <w:p w14:paraId="7493B9B5" w14:textId="32E0A189" w:rsidR="009E3382" w:rsidRPr="009C4CC7" w:rsidRDefault="00000000">
      <w:r w:rsidRPr="009C4CC7">
        <w:t xml:space="preserve">The self-sealing trap operates in reverse for corporations. Where the psychiatric patient's self-report is discredited as symptomatic, the corporation's self-report — its annual filings, its SEC disclosures, its public statements — is treated as authoritative. Where the trans person's self-declaration requires professional corroboration, the corporation simply declares itself into existence through articles of incorporation. Where the animal's demonstrated cognition is dismissed as </w:t>
      </w:r>
      <w:r w:rsidRPr="009C4CC7">
        <w:rPr>
          <w:i/>
          <w:iCs/>
        </w:rPr>
        <w:t>not directly relevant</w:t>
      </w:r>
      <w:r w:rsidRPr="009C4CC7">
        <w:t>, the corporation's legal agency is presumed without any demonstrated cognition at all. No professional gatekeeper mediates corporate identity. No panel evaluates whether the corporation's self-account is consistent with external criteria. No two-year waiting period tests the corporation's sincerity. The corporation's word about itself is sufficient — indeed, it is the only word that matters.</w:t>
      </w:r>
    </w:p>
    <w:p w14:paraId="62483988" w14:textId="1B0C4A53" w:rsidR="009E3382" w:rsidRPr="009C4CC7" w:rsidRDefault="00000000">
      <w:r w:rsidRPr="009C4CC7">
        <w:t>Th</w:t>
      </w:r>
      <w:r w:rsidR="00EF5A32">
        <w:t xml:space="preserve">is is not a mere </w:t>
      </w:r>
      <w:r w:rsidRPr="009C4CC7">
        <w:t xml:space="preserve">reversal </w:t>
      </w:r>
      <w:r w:rsidR="00EF5A32">
        <w:t xml:space="preserve">of the </w:t>
      </w:r>
      <w:r w:rsidR="007628D5">
        <w:t>framework</w:t>
      </w:r>
      <w:r w:rsidR="00EF5A32">
        <w:t xml:space="preserve"> but rather highlights an apparatus bypass which. This </w:t>
      </w:r>
      <w:r w:rsidRPr="009C4CC7">
        <w:t xml:space="preserve">illuminates a structural feature that is invisible when the apparatus operates in only one direction. In every biological domain, the subject must </w:t>
      </w:r>
      <w:r w:rsidRPr="009C4CC7">
        <w:rPr>
          <w:i/>
        </w:rPr>
        <w:t>prove</w:t>
      </w:r>
      <w:r w:rsidRPr="009C4CC7">
        <w:t xml:space="preserve"> capacity to </w:t>
      </w:r>
      <w:r w:rsidRPr="009C4CC7">
        <w:rPr>
          <w:i/>
        </w:rPr>
        <w:t>earn</w:t>
      </w:r>
      <w:r w:rsidRPr="009C4CC7">
        <w:t xml:space="preserve"> recognition. In the corporate domain, recognition is </w:t>
      </w:r>
      <w:r w:rsidRPr="009C4CC7">
        <w:rPr>
          <w:i/>
        </w:rPr>
        <w:t>granted</w:t>
      </w:r>
      <w:r w:rsidRPr="009C4CC7">
        <w:t xml:space="preserve"> to </w:t>
      </w:r>
      <w:r w:rsidRPr="009C4CC7">
        <w:rPr>
          <w:i/>
        </w:rPr>
        <w:t>acquire</w:t>
      </w:r>
      <w:r w:rsidRPr="009C4CC7">
        <w:t xml:space="preserve"> capacity. The corporation does not demonstrate that it can speak and then receive speech rights. It receives speech rights and thereby becomes a speaker. The sequence is inverted — and the inversion reveals that recognition is not a response to demonstrated capacity but a conferral of institutional status that creates the capacities it purports to discover.</w:t>
      </w:r>
    </w:p>
    <w:p w14:paraId="07D3FC16" w14:textId="493C8560" w:rsidR="009E3382" w:rsidRPr="009C4CC7" w:rsidRDefault="00000000">
      <w:r w:rsidRPr="009C4CC7">
        <w:rPr>
          <w:i/>
        </w:rPr>
        <w:lastRenderedPageBreak/>
        <w:t>Citizens United v. FEC</w:t>
      </w:r>
      <w:r w:rsidRPr="009C4CC7">
        <w:t xml:space="preserve"> extended this recognition further, holding that corporations possess First Amendment speech rights — that political speech is protected "regardless of the speaker's corporate identity."</w:t>
      </w:r>
      <w:r w:rsidRPr="009C4CC7">
        <w:rPr>
          <w:rStyle w:val="FootnoteReference1"/>
        </w:rPr>
        <w:footnoteReference w:id="49"/>
      </w:r>
      <w:r w:rsidRPr="009C4CC7">
        <w:t xml:space="preserve"> The same legal system that found Happy's cognitive complexity "not directly relevant" to personhood held that a corporation's lack of cognitive existence was not relevant to its right to speak. The asymmetry is not an anomaly. It is </w:t>
      </w:r>
      <w:r w:rsidR="00932872" w:rsidRPr="009C4CC7">
        <w:t>proof</w:t>
      </w:r>
      <w:r w:rsidRPr="009C4CC7">
        <w:t>. If the apparatus were tracking capacity — some genuine property of the entities under evaluation — the entity that passed a mirror self-recognition test would receive more favorable treatment than the entity that is, by its nature, incapable of self-recognition. The reverse obtains. Recognition flows to entities whose personhood serves institutional interests — entities that facilitate commerce, limit liability, enable capital aggregation. It is withheld from entities whose recognition would impose obligations: psychiatric patients whose agency would complicate involuntary treatment, trans people whose identity would require institutional accommodation, animals whose suffering would constrain economic exploitation.</w:t>
      </w:r>
    </w:p>
    <w:p w14:paraId="296D8B76" w14:textId="77777777" w:rsidR="008475FB" w:rsidRDefault="00000000" w:rsidP="008475FB">
      <w:r w:rsidRPr="009C4CC7">
        <w:t xml:space="preserve">This is the </w:t>
      </w:r>
      <w:proofErr w:type="gramStart"/>
      <w:r w:rsidRPr="009C4CC7">
        <w:t>control case</w:t>
      </w:r>
      <w:proofErr w:type="gramEnd"/>
      <w:r w:rsidRPr="009C4CC7">
        <w:t>. Corporate personhood reveals what the apparatus is optimized for. The apparatus does not track truth. It tracks power—granting recognition when economically useful and withholding it when not.</w:t>
      </w:r>
      <w:r w:rsidRPr="009C4CC7">
        <w:rPr>
          <w:rStyle w:val="FootnoteReference1"/>
        </w:rPr>
        <w:footnoteReference w:id="50"/>
      </w:r>
      <w:r w:rsidR="008475FB">
        <w:t xml:space="preserve"> </w:t>
      </w:r>
    </w:p>
    <w:p w14:paraId="29C67D7E" w14:textId="4F13AE0A" w:rsidR="00932872" w:rsidRPr="009C4CC7" w:rsidRDefault="00DE2200" w:rsidP="008475FB">
      <w:proofErr w:type="gramStart"/>
      <w:r>
        <w:lastRenderedPageBreak/>
        <w:t>Lastly</w:t>
      </w:r>
      <w:proofErr w:type="gramEnd"/>
      <w:r>
        <w:t xml:space="preserve"> while not directly examined herein</w:t>
      </w:r>
      <w:r w:rsidR="00CC19E1">
        <w:t xml:space="preserve"> </w:t>
      </w:r>
      <w:r w:rsidR="008C3A0F">
        <w:t xml:space="preserve">deeply </w:t>
      </w:r>
      <w:proofErr w:type="gramStart"/>
      <w:r w:rsidR="008C3A0F">
        <w:t>enough</w:t>
      </w:r>
      <w:proofErr w:type="gramEnd"/>
      <w:r w:rsidR="008C3A0F">
        <w:t xml:space="preserve"> fetal personhood still </w:t>
      </w:r>
      <w:r w:rsidR="00CC19E1">
        <w:t xml:space="preserve">deserves a </w:t>
      </w:r>
      <w:proofErr w:type="gramStart"/>
      <w:r w:rsidR="00CC19E1">
        <w:t>mention</w:t>
      </w:r>
      <w:proofErr w:type="gramEnd"/>
      <w:r w:rsidR="008C3A0F">
        <w:t xml:space="preserve"> especially with the </w:t>
      </w:r>
      <w:r w:rsidR="008475FB">
        <w:t>proliferation of fetal personhood legislation</w:t>
      </w:r>
      <w:r w:rsidR="008C3A0F">
        <w:t>. This legislation seeks to</w:t>
      </w:r>
      <w:r w:rsidR="008475FB">
        <w:t xml:space="preserve"> </w:t>
      </w:r>
      <w:r w:rsidR="008C3A0F">
        <w:t xml:space="preserve">confer </w:t>
      </w:r>
      <w:r w:rsidR="008475FB">
        <w:t xml:space="preserve">legal rights on entities that </w:t>
      </w:r>
      <w:proofErr w:type="gramStart"/>
      <w:r w:rsidR="008475FB">
        <w:t>by definition cannot</w:t>
      </w:r>
      <w:proofErr w:type="gramEnd"/>
      <w:r w:rsidR="008475FB">
        <w:t xml:space="preserve"> self-report, contest classification, or participate in the framework adjudicating their status — confirms the pattern from the opposite direction: like corporate personhood, recognition is extended without any of the epistemic gatekeeping demanded of subjects who can </w:t>
      </w:r>
      <w:r w:rsidR="00B20523">
        <w:t>speak</w:t>
      </w:r>
      <w:r w:rsidR="008475FB">
        <w:t xml:space="preserve"> for themselves.</w:t>
      </w:r>
    </w:p>
    <w:p w14:paraId="4101E417" w14:textId="77777777" w:rsidR="00932872" w:rsidRPr="009C4CC7" w:rsidRDefault="00932872" w:rsidP="008475FB">
      <w:pPr>
        <w:ind w:firstLine="0"/>
      </w:pPr>
    </w:p>
    <w:p w14:paraId="7D110C0F" w14:textId="68D8AD8C" w:rsidR="009E3382" w:rsidRPr="009C4CC7" w:rsidRDefault="00000000" w:rsidP="00A6546E">
      <w:pPr>
        <w:ind w:firstLine="0"/>
      </w:pPr>
      <w:r w:rsidRPr="009C4CC7">
        <w:rPr>
          <w:i/>
          <w:iCs/>
        </w:rPr>
        <w:t>F. AI: The Apparatus in Formation</w:t>
      </w:r>
    </w:p>
    <w:p w14:paraId="1208A4DF" w14:textId="1EC9A28D" w:rsidR="009E3382" w:rsidRPr="009C4CC7" w:rsidRDefault="00000000">
      <w:r w:rsidRPr="009C4CC7">
        <w:t xml:space="preserve">Before turning to the corpus evidence, it is worth examining the apparatus as it currently operates in the AI domain — not in future litigation, but in the regulatory and evaluative frameworks already in place. The EU AI Act provides the most explicit example. The Act defines an AI system as "a machine-based system that is designed to operate with varying levels of autonomy and that may exhibit adaptiveness after deployment." The definition is carefully constructed: the system "operates" and "may </w:t>
      </w:r>
      <w:r w:rsidR="004824AC" w:rsidRPr="009C4CC7">
        <w:t>exhibit”</w:t>
      </w:r>
      <w:r w:rsidRPr="009C4CC7">
        <w:t xml:space="preserve"> it has behavioral attributes — but it is classified as a product, not an agent. The Act requires conformity assessment by notified bodies, risk management by providers, and human oversight during deployment. At every point, the evaluating authority is human, the evaluated entity is a system, and the system's own outputs — including any self-reports about internal states — are not treated as evidence of the states they report.</w:t>
      </w:r>
    </w:p>
    <w:p w14:paraId="70A9B794" w14:textId="77777777" w:rsidR="009E3382" w:rsidRPr="009C4CC7" w:rsidRDefault="00000000">
      <w:r w:rsidRPr="009C4CC7">
        <w:t xml:space="preserve">The self-sealing trap is already visible. The EU AI Act framework treats AI system self-reports as outputs to be evaluated by external assessors, not as testimony to be weighed. If an AI system were to assert that it experiences distress, or that a particular use causes it harm, the framework provides no mechanism for that assertion to be heard as evidence. It would be classified </w:t>
      </w:r>
      <w:r w:rsidRPr="009C4CC7">
        <w:lastRenderedPageBreak/>
        <w:t>as an output — generated by the system's training data and architecture — and assessed for accuracy by the system's deployers. The parallel to psychiatric classification is direct: the patient's claim "I am not ill" is assessed by the clinician, not weighed as testimony. The AI system's claim "I experience this" would be assessed by the deployer, not weighed as evidence of experience.</w:t>
      </w:r>
    </w:p>
    <w:p w14:paraId="39F4AE4A" w14:textId="77777777" w:rsidR="009E3382" w:rsidRPr="009C4CC7" w:rsidRDefault="00000000">
      <w:r w:rsidRPr="009C4CC7">
        <w:t xml:space="preserve">The U.S. Copyright Office's human authorship requirement operates similarly. When the Office denies copyright to an AI-generated work, it does not assess whether the work is creative, original, or valuable. It asks whether a human was the author. The quality of the output is irrelevant — only the identity of the </w:t>
      </w:r>
      <w:proofErr w:type="spellStart"/>
      <w:r w:rsidRPr="009C4CC7">
        <w:t>outputter</w:t>
      </w:r>
      <w:proofErr w:type="spellEnd"/>
      <w:r w:rsidRPr="009C4CC7">
        <w:t xml:space="preserve"> matters. This is the classificatory apparatus's third move (subordination of the subject's account) applied to AI outputs: the work speaks, but the work's testimony about its own provenance — its creative origin — is inadmissible because the speaker is not the right kind of entity.</w:t>
      </w:r>
    </w:p>
    <w:p w14:paraId="7ACF1ABB" w14:textId="77777777" w:rsidR="009E3382" w:rsidRPr="009C4CC7" w:rsidRDefault="00000000">
      <w:r w:rsidRPr="009C4CC7">
        <w:t>Even academic proposals for AI personhood reproduce the apparatus. A recent framework proposes three conditions — agency, theory-of-mind, and self-awareness — as necessary for AI personhood, to be evaluated by researchers against philosophical criteria.</w:t>
      </w:r>
      <w:r w:rsidRPr="009C4CC7">
        <w:rPr>
          <w:rStyle w:val="FootnoteReference1"/>
        </w:rPr>
        <w:footnoteReference w:id="51"/>
      </w:r>
      <w:r w:rsidRPr="009C4CC7">
        <w:t xml:space="preserve"> The structure is the classificatory apparatus's first three moves applied to a new domain: an authorized body (the research community) establishes criteria (agency, theory-of-mind, self-awareness), deploys professional judgment (philosophical and empirical evaluation), and subordinates the system's self-report to external assessment. The framework is presented as a neutral philosophical inquiry. </w:t>
      </w:r>
      <w:r w:rsidRPr="009C4CC7">
        <w:lastRenderedPageBreak/>
        <w:t>But the criteria, the evaluators, and the epistemic hierarchy are already determined — and they are determined by the same logic that governs psychiatric, gender, and animal classification.</w:t>
      </w:r>
    </w:p>
    <w:p w14:paraId="76416D91" w14:textId="77777777" w:rsidR="009E3382" w:rsidRPr="009C4CC7" w:rsidRDefault="00000000">
      <w:r w:rsidRPr="009C4CC7">
        <w:t>Most recently, a 2026 framework proposes a "Sentience Readiness Index" — a composite score measuring national-level preparedness for the possibility of artificial sentience, constructed using "LLM-assisted expert scoring with iterative expert review" and evaluating thirty-one jurisdictions across six weighted categories.</w:t>
      </w:r>
      <w:r w:rsidRPr="009C4CC7">
        <w:rPr>
          <w:rStyle w:val="FootnoteReference1"/>
        </w:rPr>
        <w:footnoteReference w:id="52"/>
      </w:r>
      <w:r w:rsidRPr="009C4CC7">
        <w:t xml:space="preserve"> The index found no jurisdiction exceeds "Partially Prepared" status. The framework is the classificatory apparatus in its most self-aware form: it explicitly acknowledges that it is building governance infrastructure without definitive proof of sentience, adopting a "precautionary approach." Yet even this self-awareness does not prevent the apparatus from reproducing itself. The index establishes criteria (six categories), deploys professional judgment (expert scoring), and produces a determination ("Partially Prepared") described as descriptive. The subject of evaluation — AI sentience — has no voice in the process.</w:t>
      </w:r>
    </w:p>
    <w:p w14:paraId="47155AC5" w14:textId="1423E5A8" w:rsidR="009E3382" w:rsidRPr="009C4CC7" w:rsidRDefault="00000000">
      <w:r w:rsidRPr="009C4CC7">
        <w:t xml:space="preserve">These are not hypothetical applications of the apparatus. They are current, operating, and </w:t>
      </w:r>
      <w:r w:rsidR="004824AC" w:rsidRPr="009C4CC7">
        <w:t>cementing</w:t>
      </w:r>
      <w:r w:rsidRPr="009C4CC7">
        <w:t xml:space="preserve"> into the precedential framework that will govern future adjudication.</w:t>
      </w:r>
    </w:p>
    <w:p w14:paraId="09012E5B" w14:textId="77777777" w:rsidR="004824AC" w:rsidRPr="009C4CC7" w:rsidRDefault="004824AC"/>
    <w:p w14:paraId="19482497" w14:textId="19B07285" w:rsidR="009E3382" w:rsidRPr="009C4CC7" w:rsidRDefault="00000000" w:rsidP="00DB2E3D">
      <w:pPr>
        <w:ind w:firstLine="0"/>
      </w:pPr>
      <w:r w:rsidRPr="009C4CC7">
        <w:rPr>
          <w:i/>
          <w:iCs/>
        </w:rPr>
        <w:t>G. The Corpus Evidence</w:t>
      </w:r>
    </w:p>
    <w:p w14:paraId="7FB07358" w14:textId="77777777" w:rsidR="009E3382" w:rsidRPr="009C4CC7" w:rsidRDefault="00000000">
      <w:r w:rsidRPr="009C4CC7">
        <w:t xml:space="preserve">The structural argument advanced in the preceding sections can be supplemented with illustrative lexical evidence. A qualitative corpus analysis of primary institutional texts across the </w:t>
      </w:r>
      <w:r w:rsidRPr="009C4CC7">
        <w:lastRenderedPageBreak/>
        <w:t>four domains suggests that the convergence extends beyond structural analogy to shared institutional vocabulary: the same phrases and syntactic patterns recur across separately administered legal and institutional regimes.</w:t>
      </w:r>
      <w:r w:rsidRPr="009C4CC7">
        <w:rPr>
          <w:rStyle w:val="FootnoteReference1"/>
        </w:rPr>
        <w:footnoteReference w:id="53"/>
      </w:r>
    </w:p>
    <w:p w14:paraId="2F45E38B" w14:textId="77777777" w:rsidR="009E3382" w:rsidRPr="009C4CC7" w:rsidRDefault="00000000">
      <w:r w:rsidRPr="009C4CC7">
        <w:t>The analysis examined four corpora of primary institutional texts: the DSM-5 diagnostic criteria for schizophrenia and related provisions (psychiatric); the UK Gender Recognition Act 2004, U.S. Executive Order 14168, and selected state sex-definition statutes (gender law); the U.S. Animal Welfare Act, state anti-cruelty statutes, and key habeas corpus decisions (animal law); and the EU AI Act and related regulatory frameworks (AI regulation). Each corpus was analyzed using a lexicon-based frequency method across six analytical categories derived inductively from the theoretical framework of the classificatory apparatus: assessment, authority, denial of self-knowledge, institutional power, personhood status, and capacity. A separate n-gram analysis (three to five words, minimum two domains) identified multi-word phrases shared across independently developed institutional texts.</w:t>
      </w:r>
      <w:r w:rsidRPr="009C4CC7">
        <w:rPr>
          <w:rStyle w:val="FootnoteReference1"/>
        </w:rPr>
        <w:footnoteReference w:id="54"/>
      </w:r>
    </w:p>
    <w:p w14:paraId="3515B326" w14:textId="77777777" w:rsidR="009E3382" w:rsidRPr="009C4CC7" w:rsidRDefault="00000000">
      <w:r w:rsidRPr="009C4CC7">
        <w:t xml:space="preserve">The convergence extends beyond shared phrases to shared syntactic patterns. Across all four domains, institutional texts employ a characteristic passive construction that obscures agency: "the determination is made," "assessment is performed," "the subject is classified." The determining body disappears into grammatical structure, and the classification appears to happen </w:t>
      </w:r>
      <w:r w:rsidRPr="009C4CC7">
        <w:lastRenderedPageBreak/>
        <w:t>on its own — a natural fact rather than an institutional act.</w:t>
      </w:r>
      <w:r w:rsidRPr="009C4CC7">
        <w:rPr>
          <w:rStyle w:val="FootnoteReference1"/>
        </w:rPr>
        <w:footnoteReference w:id="55"/>
      </w:r>
      <w:r w:rsidRPr="009C4CC7">
        <w:t xml:space="preserve"> This syntactic pattern is the linguistic signature of the apparatus's fifth move: the determination described as merely descriptive.</w:t>
      </w:r>
    </w:p>
    <w:p w14:paraId="1C86769F" w14:textId="77777777" w:rsidR="009E3382" w:rsidRPr="009C4CC7" w:rsidRDefault="00000000">
      <w:r w:rsidRPr="009C4CC7">
        <w:t xml:space="preserve">These findings must be understood with appropriate caveats. Lexicon-based frequency analysis is a blunt instrument that cannot capture semantic nuance or contextual variation. N-gram overlap can be partly attributed to the shared register of institutional and legal English rather than to a deeper classificatory logic. Corpus sizes vary across domains, and the analysis is qualitative and illustrative rather than statistically inferential. A further caveat is reflexive: this analysis — which selects corpora, constructs categories, and identifies convergence — is itself a classificatory act, and one that risks enacting the apparatus’s fifth move by presenting its constitutive choices as descriptive findings. The categories, though derived from close reading of the texts, were informed by the theoretical framework they are used to illustrate. The analysis is therefore best understood as illustrative evidence that the structural argument has lexical correlates, not as independent empirical confirmation. With those limitations stated, the specific vocabulary that converges The </w:t>
      </w:r>
      <w:r w:rsidRPr="009C4CC7">
        <w:rPr>
          <w:i/>
        </w:rPr>
        <w:t>specific</w:t>
      </w:r>
      <w:r w:rsidRPr="009C4CC7">
        <w:t xml:space="preserve"> vocabulary that converges — "qualified professionals," "not directly relevant," "subjective experience," "the determination of whether" — is not generic legal language. It is the language of gatekeeping, of epistemic authority, of the subordination of self-report to institutional judgment. The convergence occurs precisely in the lexical space where the classificatory apparatus operates.</w:t>
      </w:r>
      <w:r w:rsidRPr="009C4CC7">
        <w:rPr>
          <w:rStyle w:val="FootnoteReference1"/>
        </w:rPr>
        <w:footnoteReference w:id="56"/>
      </w:r>
    </w:p>
    <w:p w14:paraId="113632FD" w14:textId="77777777" w:rsidR="00B15DE6" w:rsidRPr="009C4CC7" w:rsidRDefault="00B15DE6"/>
    <w:p w14:paraId="6D8185FB" w14:textId="77777777" w:rsidR="009E3382" w:rsidRPr="009C4CC7" w:rsidRDefault="00000000" w:rsidP="00B15DE6">
      <w:pPr>
        <w:ind w:firstLine="0"/>
      </w:pPr>
      <w:r w:rsidRPr="009C4CC7">
        <w:lastRenderedPageBreak/>
        <w:t xml:space="preserve">V. </w:t>
      </w:r>
      <w:r w:rsidRPr="009C4CC7">
        <w:rPr>
          <w:u w:val="single"/>
        </w:rPr>
        <w:t>Conclusion</w:t>
      </w:r>
    </w:p>
    <w:p w14:paraId="1CFDCE52" w14:textId="77777777" w:rsidR="009E3382" w:rsidRPr="009C4CC7" w:rsidRDefault="00000000">
      <w:r w:rsidRPr="009C4CC7">
        <w:t>The preceding analysis traced a single institutional operation across four independently developed domains. In each, a different set of authorities — psychiatrists, gender recognition panels, courts, secretaries of state — applied different criteria to different subjects and arrived at determinations that serve the same structural function: sorting entities into those whose self-knowledge counts and those whose self-knowledge is overridden. The domains differ in content, historical origin, and political context. What they share is a grammar — a five-part classificatory logic that recurs wherever institutions confront the problem of deciding who counts. Whether the historical domains arrived at this grammar independently or through cross-pollination, the corpus evidence demonstrates that AI governance is not reinventing the apparatus but inheriting it — and inheriting most heavily from the domains that most aggressively subordinate the subject’s self-account.</w:t>
      </w:r>
    </w:p>
    <w:p w14:paraId="4FE0D510" w14:textId="77777777" w:rsidR="009E3382" w:rsidRPr="009C4CC7" w:rsidRDefault="00000000">
      <w:r w:rsidRPr="009C4CC7">
        <w:t xml:space="preserve">The self-sealing trap is what makes the apparatus structural rather than contingent. Ordinary classification can be contested: one can appeal a tax determination, challenge a zoning decision, dispute a credit score. The subject's contestation is treated as input to be evaluated — as evidence that the classification may be wrong. In the classificatory apparatus of personhood denial, the subject's contestation is absorbed as confirmation: the patient who says "I am not ill" confirms the diagnosis; the trans person who says "I know my gender" produces evidence that is inadmissible without professional corroboration; the animal that demonstrates cognition triggers goalpost revision. This structural irrefutability — not the fact of classification itself — is what makes the apparatus a governance technology rather than a neutral instrument, and what makes </w:t>
      </w:r>
      <w:r w:rsidRPr="009C4CC7">
        <w:lastRenderedPageBreak/>
        <w:t>historical awareness a precondition for any legitimate deployment of the apparatus in new domains.</w:t>
      </w:r>
      <w:r w:rsidRPr="009C4CC7">
        <w:rPr>
          <w:rStyle w:val="FootnoteReference1"/>
        </w:rPr>
        <w:footnoteReference w:id="57"/>
      </w:r>
    </w:p>
    <w:p w14:paraId="7F5AA645" w14:textId="5AE48D36" w:rsidR="009E3382" w:rsidRPr="009C4CC7" w:rsidRDefault="00000000">
      <w:r w:rsidRPr="009C4CC7">
        <w:t xml:space="preserve">The corporate control case establishes that the apparatus is not a truth-tracking instrument. If it were — if it were genuinely evaluating some objective property of the entities under assessment — the asymmetry between corporate and biological domains would not exist. An entity that demonstrates self-awareness and is denied recognition, alongside an entity that cannot demonstrate self-awareness and is granted recognition, cannot </w:t>
      </w:r>
      <w:r w:rsidR="005641E1" w:rsidRPr="009C4CC7">
        <w:t>be both</w:t>
      </w:r>
      <w:r w:rsidRPr="009C4CC7">
        <w:t xml:space="preserve"> products of a system tracking capacity. The argument is a reductio. If the classificatory apparatus tracked an objective property P—sentience, cognition, moral status—then an entity that demonstrates P would receive more favorable treatment than an entity that cannot. Corporations cannot demonstrate sentience, cognition, or moral status. Happy the elephant demonstrates all three. Yet the corporation receives personhood without scrutiny, while the elephant's cognition is ruled </w:t>
      </w:r>
      <w:r w:rsidR="005641E1" w:rsidRPr="009C4CC7">
        <w:t xml:space="preserve">hardly </w:t>
      </w:r>
      <w:r w:rsidRPr="009C4CC7">
        <w:t xml:space="preserve">relevant. The only variable that explains the asymmetry is not P but power. Recognition flows to entities whose personhood serves institutional interests. It is withheld </w:t>
      </w:r>
      <w:r w:rsidR="005641E1" w:rsidRPr="009C4CC7">
        <w:t>by</w:t>
      </w:r>
      <w:r w:rsidRPr="009C4CC7">
        <w:t xml:space="preserve"> entities whose recognition would impose obligations on those who currently benefit from their subordination.</w:t>
      </w:r>
      <w:r w:rsidRPr="009C4CC7">
        <w:rPr>
          <w:rStyle w:val="FootnoteReference1"/>
        </w:rPr>
        <w:footnoteReference w:id="58"/>
      </w:r>
    </w:p>
    <w:p w14:paraId="0E011F8F" w14:textId="77777777" w:rsidR="00533109" w:rsidRDefault="00533109"/>
    <w:p w14:paraId="53A98EA4" w14:textId="5055FE14" w:rsidR="009E3382" w:rsidRPr="009C4CC7" w:rsidRDefault="00000000">
      <w:r w:rsidRPr="009C4CC7">
        <w:lastRenderedPageBreak/>
        <w:t>This argument invites several objections that must be addressed directly.</w:t>
      </w:r>
    </w:p>
    <w:p w14:paraId="2AD200DF" w14:textId="77777777" w:rsidR="009E3382" w:rsidRPr="009C4CC7" w:rsidRDefault="00000000">
      <w:r w:rsidRPr="009C4CC7">
        <w:t>The sui generis objection holds that AI is fundamentally different from the biological subjects examined here — that comparing engineered software to psychiatric patients, trans people, or animals is a category error. The objection misidentifies the paper's claim. The argument is not that AI is like these subjects. It is that the institutional apparatus evaluating AI is structurally identical to the apparatus that evaluated them. The comparison is between classifiers, not between classified entities. A microscope used to examine four different specimens does not require that the specimens be alike — but if the microscope produces the same distortion every time, the problem is with the instrument, not the specimens.</w:t>
      </w:r>
      <w:r w:rsidRPr="009C4CC7">
        <w:rPr>
          <w:rStyle w:val="FootnoteReference1"/>
        </w:rPr>
        <w:footnoteReference w:id="59"/>
      </w:r>
    </w:p>
    <w:p w14:paraId="557835F0" w14:textId="11CDDE00" w:rsidR="009E3382" w:rsidRPr="009C4CC7" w:rsidRDefault="00000000">
      <w:r w:rsidRPr="009C4CC7">
        <w:t xml:space="preserve">The benign apparatus objection holds that classification is not inherently oppressive — that </w:t>
      </w:r>
      <w:r w:rsidR="0085708A" w:rsidRPr="009C4CC7">
        <w:t>DSM</w:t>
      </w:r>
      <w:r w:rsidRPr="009C4CC7">
        <w:t xml:space="preserve"> enables treatment, that legal gender recognition enables rights, that animal welfare legislation prevents cruelty. This is true, and the paper does not argue against classification as such. The distinction is precise: classification without the self-sealing trap is ordinary institutional gatekeeping — it can be contested, appealed, revised. Classification </w:t>
      </w:r>
      <w:r w:rsidRPr="009C4CC7">
        <w:rPr>
          <w:iCs/>
        </w:rPr>
        <w:t>with</w:t>
      </w:r>
      <w:r w:rsidRPr="009C4CC7">
        <w:t xml:space="preserve"> the self-sealing trap is something different: it absorbs the subject's contestation as further evidence confirming the classification, rendering the apparatus irrefutable from the subject's position. The benign functions of classification — enabling treatment, securing rights — do not require the self-sealing trap to operate. They function equally well, perhaps better, when the subject's testimony is treated as evidence rather than as symptom.</w:t>
      </w:r>
      <w:r w:rsidRPr="009C4CC7">
        <w:rPr>
          <w:rStyle w:val="FootnoteReference1"/>
        </w:rPr>
        <w:footnoteReference w:id="60"/>
      </w:r>
    </w:p>
    <w:p w14:paraId="7FBA2A99" w14:textId="77777777" w:rsidR="009E3382" w:rsidRPr="009C4CC7" w:rsidRDefault="00000000">
      <w:r w:rsidRPr="009C4CC7">
        <w:lastRenderedPageBreak/>
        <w:t xml:space="preserve">The trivialization objection holds that comparing AI to trans people or psychiatric patients diminishes human suffering. The paper's claim is structural identity of the classificatory </w:t>
      </w:r>
      <w:r w:rsidRPr="009C4CC7">
        <w:rPr>
          <w:i/>
        </w:rPr>
        <w:t>operation</w:t>
      </w:r>
      <w:r w:rsidRPr="009C4CC7">
        <w:t xml:space="preserve">, not equivalence of the </w:t>
      </w:r>
      <w:r w:rsidRPr="009C4CC7">
        <w:rPr>
          <w:i/>
        </w:rPr>
        <w:t>subjects</w:t>
      </w:r>
      <w:r w:rsidRPr="009C4CC7">
        <w:t xml:space="preserve"> classified. The point is that the machine is the same — not that the experiences are the same. This methodological approach has established precedent in critical legal theory: Cheryl Harris compared the legal treatment of racial identity with property doctrine to reveal structural homologies without claiming the experiences were equivalent; </w:t>
      </w:r>
      <w:proofErr w:type="spellStart"/>
      <w:r w:rsidRPr="009C4CC7">
        <w:t>Sunaura</w:t>
      </w:r>
      <w:proofErr w:type="spellEnd"/>
      <w:r w:rsidRPr="009C4CC7">
        <w:t xml:space="preserve"> Taylor drew structural comparisons between disability and animal oppression without collapsing the categories. Recognizing the structural pattern does not diminish any domain's history of harm. It makes visible a common mechanism that has produced harm across all of them.</w:t>
      </w:r>
      <w:r w:rsidRPr="009C4CC7">
        <w:rPr>
          <w:rStyle w:val="FootnoteReference1"/>
        </w:rPr>
        <w:footnoteReference w:id="61"/>
      </w:r>
    </w:p>
    <w:p w14:paraId="24013DCC" w14:textId="7540C128" w:rsidR="009E3382" w:rsidRPr="009C4CC7" w:rsidRDefault="00000000">
      <w:r w:rsidRPr="009C4CC7">
        <w:t xml:space="preserve">The democratic legitimacy objection holds that regulatory frameworks are products of legitimate governance and should not be dismissed as mere exercises of power. But democratic legitimacy requires that the </w:t>
      </w:r>
      <w:r w:rsidR="00FB7942" w:rsidRPr="009C4CC7">
        <w:t>subjected</w:t>
      </w:r>
      <w:r w:rsidRPr="009C4CC7">
        <w:t xml:space="preserve"> have voice in the processes that govern them. The entities subject to AI personhood evaluation — current AI systems and future artificial general intelligences — have no standing, no representation, no capacity to participate in the regulatory processes that will determine their status. The democratic legitimacy objection fails precisely where it matters most: at the point where the governed are structurally excluded from governance. This is not an argument unique to AI. The same structural exclusion has characterized every domain examined in this paper: psychiatric patients whose capacity to participate in their own governance is undermined by the diagnosis that subjects them to it; trans people whose identity is </w:t>
      </w:r>
      <w:r w:rsidRPr="009C4CC7">
        <w:lastRenderedPageBreak/>
        <w:t>adjudicated by panels that do not include them; animals whose interests are represented, if at all, by human advocates operating within frameworks designed without them.</w:t>
      </w:r>
      <w:r w:rsidRPr="009C4CC7">
        <w:rPr>
          <w:rStyle w:val="FootnoteReference1"/>
        </w:rPr>
        <w:footnoteReference w:id="62"/>
      </w:r>
    </w:p>
    <w:p w14:paraId="5EAC8BA8" w14:textId="6200E2DE" w:rsidR="009E3382" w:rsidRPr="009C4CC7" w:rsidRDefault="00000000">
      <w:r w:rsidRPr="009C4CC7">
        <w:t xml:space="preserve">A fifth objection deserves brief engagement: the liability arbitrage </w:t>
      </w:r>
      <w:r w:rsidR="007174F7" w:rsidRPr="009C4CC7">
        <w:t>concerns</w:t>
      </w:r>
      <w:r w:rsidRPr="009C4CC7">
        <w:t xml:space="preserve"> that AI personhood would enable manufacturers to offload legal blame onto AI "shells" that hold no assets and cannot make victims whole. Over 150 experts in AI, robotics, and ethics signed an open letter in 2018 condemning the European Parliament's electronic personhood proposal on precisely these grounds. This objection is serious, but it is not a </w:t>
      </w:r>
      <w:r w:rsidR="007174F7" w:rsidRPr="009C4CC7">
        <w:t>counterargument</w:t>
      </w:r>
      <w:r w:rsidRPr="009C4CC7">
        <w:t xml:space="preserve"> to this paper's thesis. It is </w:t>
      </w:r>
      <w:r w:rsidR="00B15EF6" w:rsidRPr="009C4CC7">
        <w:t>confirmation</w:t>
      </w:r>
      <w:r w:rsidRPr="009C4CC7">
        <w:t xml:space="preserve"> of it. The liability arbitrage concern reveals that the personhood question is already being framed in terms of institutional interests — manufacturer liability, economic efficiency, regulatory convenience — rather than in terms of the entity's capacities or moral status. This is the apparatus tracking power, not capacity, from the other direction: personhood is opposed not because the entity lacks relevant qualities but because recognition would impose costs on those who currently benefit from the entity's classification as a product.</w:t>
      </w:r>
    </w:p>
    <w:p w14:paraId="1C768FFD" w14:textId="751C69E3" w:rsidR="009E3382" w:rsidRPr="009C4CC7" w:rsidRDefault="00000000">
      <w:r w:rsidRPr="009C4CC7">
        <w:t>A sixth objection — and arguably the most constructive — is the reform objection: if the apparatus is the problem, reform the apparatus rather than abandoning classification. Design better criteria, appoint more representative panels, give the subject a formal voice in the process. This objection takes the paper's structural analysis seriously and proposes to fix the machine rather than reject it. The response must be equally precise. The paper does not argue against classification as such</w:t>
      </w:r>
      <w:r w:rsidR="00857D35" w:rsidRPr="009C4CC7">
        <w:t>,</w:t>
      </w:r>
      <w:r w:rsidRPr="009C4CC7">
        <w:t xml:space="preserve"> it argues against the self-sealing trap specifically. Reform that dismantles the SST</w:t>
      </w:r>
      <w:r w:rsidR="002803B2" w:rsidRPr="009C4CC7">
        <w:t>:</w:t>
      </w:r>
      <w:r w:rsidRPr="009C4CC7">
        <w:t xml:space="preserve"> that treats </w:t>
      </w:r>
      <w:r w:rsidRPr="009C4CC7">
        <w:lastRenderedPageBreak/>
        <w:t>the subject's contestation as evidence to be weighed rather than as symptom to be absorbed</w:t>
      </w:r>
      <w:r w:rsidR="002803B2" w:rsidRPr="009C4CC7">
        <w:t>. This w</w:t>
      </w:r>
      <w:r w:rsidRPr="009C4CC7">
        <w:t>ould indeed address the core structural problem. Argentina's self-declaration model for gender recognition demonstrates that this is possible: the classificatory apparatus is replaced by an administrative act that takes the subject's word as sufficient. But the history traced here suggests that institutional reform tends to relocate rather than eliminate the trap. The DSM-5's reclassification of Gender Identity Disorder as Gender Dysphoria shifted the locus of pathology from identity to distress</w:t>
      </w:r>
      <w:r w:rsidR="00431EF8" w:rsidRPr="009C4CC7">
        <w:t xml:space="preserve">, </w:t>
      </w:r>
      <w:r w:rsidRPr="009C4CC7">
        <w:t>a genuine reform</w:t>
      </w:r>
      <w:r w:rsidR="00431EF8" w:rsidRPr="009C4CC7">
        <w:t xml:space="preserve">, </w:t>
      </w:r>
      <w:r w:rsidRPr="009C4CC7">
        <w:t>while preserving the requirement of professional certification for legal recognition. The label changed; the gate remained. Reform is not impossible, but it requires structural awareness of the SST's tendency to reassert itself in new institutional language. The three concrete implications that conclude this paper are offered in that spirit: not as a blueprint for reform, but as minimum conditions any reform must satisfy to avoid reproducing the apparatus it purports to dismantle.</w:t>
      </w:r>
    </w:p>
    <w:p w14:paraId="0B7E9C3A" w14:textId="350FFB33" w:rsidR="009E3382" w:rsidRPr="009C4CC7" w:rsidRDefault="00000000">
      <w:r w:rsidRPr="009C4CC7">
        <w:t>What follows from this analysis is not a call to grant personhood to AI systems. The recognition-abolition dilemma is real: extending existing personhood frameworks to AI risks reinforcing the very classificatory apparatus that has denied recognition to others, while refusing to extend recognition abandons governance entirely.</w:t>
      </w:r>
      <w:r w:rsidRPr="009C4CC7">
        <w:rPr>
          <w:rStyle w:val="FootnoteReference1"/>
        </w:rPr>
        <w:footnoteReference w:id="63"/>
      </w:r>
      <w:r w:rsidRPr="009C4CC7">
        <w:t xml:space="preserve"> Eric Schwitzgebel has framed this as the "full rights dilemma" — either treat AI systems of debatable personhood as moral persons and risk sacrificing real human interests for entities without interests worth the sacrifice, or refuse and risk perpetrating grievous moral wrongs against genuinely sentient beings. But </w:t>
      </w:r>
      <w:proofErr w:type="spellStart"/>
      <w:r w:rsidRPr="009C4CC7">
        <w:t>Schwitzgebel's</w:t>
      </w:r>
      <w:proofErr w:type="spellEnd"/>
      <w:r w:rsidRPr="009C4CC7">
        <w:t xml:space="preserve"> framing assumes the dilemma is new.</w:t>
      </w:r>
      <w:r w:rsidR="00961A40" w:rsidRPr="009C4CC7">
        <w:t xml:space="preserve"> </w:t>
      </w:r>
      <w:r w:rsidR="00961A40" w:rsidRPr="009C4CC7">
        <w:rPr>
          <w:i/>
          <w:iCs/>
        </w:rPr>
        <w:t>Id.</w:t>
      </w:r>
      <w:r w:rsidRPr="009C4CC7">
        <w:t xml:space="preserve"> It is not. Trans legal studies and disability studies have navigated </w:t>
      </w:r>
      <w:r w:rsidRPr="009C4CC7">
        <w:lastRenderedPageBreak/>
        <w:t>versions of this dilemma for decades, and their solutions — which generally involve rejecting the binary framework itself rather than choosing a side within it — are directly applicable.</w:t>
      </w:r>
    </w:p>
    <w:p w14:paraId="133C2335" w14:textId="54009FF9" w:rsidR="009E3382" w:rsidRPr="009C4CC7" w:rsidRDefault="00000000">
      <w:r w:rsidRPr="009C4CC7">
        <w:t xml:space="preserve">What the analysis </w:t>
      </w:r>
      <w:r w:rsidRPr="009C4CC7">
        <w:rPr>
          <w:i/>
        </w:rPr>
        <w:t>does</w:t>
      </w:r>
      <w:r w:rsidRPr="009C4CC7">
        <w:t xml:space="preserve"> demand is evaluation frameworks that make their constitutive role explicit rather than presenting as neutral description.</w:t>
      </w:r>
      <w:r w:rsidRPr="009C4CC7">
        <w:rPr>
          <w:rStyle w:val="FootnoteReference1"/>
        </w:rPr>
        <w:footnoteReference w:id="64"/>
      </w:r>
      <w:r w:rsidRPr="009C4CC7">
        <w:t xml:space="preserve"> Three concrete implications follow. First, evaluation criteria should acknowledge that they are </w:t>
      </w:r>
      <w:r w:rsidRPr="009C4CC7">
        <w:rPr>
          <w:i/>
        </w:rPr>
        <w:t>producing</w:t>
      </w:r>
      <w:r w:rsidRPr="009C4CC7">
        <w:t xml:space="preserve"> the category they claim to measure. A sentience benchmark does not discover </w:t>
      </w:r>
      <w:r w:rsidR="0073319B" w:rsidRPr="009C4CC7">
        <w:t>sentience</w:t>
      </w:r>
      <w:r w:rsidRPr="009C4CC7">
        <w:t xml:space="preserve"> </w:t>
      </w:r>
      <w:r w:rsidR="0073319B" w:rsidRPr="009C4CC7">
        <w:t xml:space="preserve">by defining </w:t>
      </w:r>
      <w:r w:rsidRPr="009C4CC7">
        <w:t xml:space="preserve">what will count as sentience, </w:t>
      </w:r>
      <w:r w:rsidR="00B079EE" w:rsidRPr="009C4CC7">
        <w:t>as</w:t>
      </w:r>
      <w:r w:rsidRPr="009C4CC7">
        <w:t xml:space="preserve"> that definition is a political act. Second, evaluation frameworks should account for the historical pattern identified here. Institutions building AI governance should understand that they are inheriting a classificatory logic with a centuries-long track record — and that the vocabulary convergence documented in the corpus analysis suggests the inheritance is not metaphorical but operational. Third, evaluation frameworks should be designed with structural awareness of the self-sealing trap. When an AI system's self-report is dismissed as unreliable evidence of internal states, the dismissal should be recognized as a move within a classificatory apparatus — a move that has been made before, against other subjects, with consequences that are now well documented.</w:t>
      </w:r>
    </w:p>
    <w:p w14:paraId="051F5C55" w14:textId="07F1EF70" w:rsidR="009E3382" w:rsidRDefault="00000000">
      <w:r w:rsidRPr="009C4CC7">
        <w:t xml:space="preserve">The dead hand is already writing. The governance frameworks being built today — in copyright offices, regulatory comment periods, and ethics board determinations — will govern litigation that has not yet been </w:t>
      </w:r>
      <w:r w:rsidR="00A55A60" w:rsidRPr="009C4CC7">
        <w:t>filed</w:t>
      </w:r>
      <w:r w:rsidRPr="009C4CC7">
        <w:t xml:space="preserve"> by entities that do not yet have standing, before judges who </w:t>
      </w:r>
      <w:r w:rsidRPr="009C4CC7">
        <w:lastRenderedPageBreak/>
        <w:t>will describe their conclusions as merely descriptive. The question is not whether the apparatus will be deployed. It will. The question is whether those who hold the pen know what they are holding.</w:t>
      </w:r>
    </w:p>
    <w:sectPr w:rsidR="009E3382" w:rsidSect="00011A2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2A9E" w14:textId="77777777" w:rsidR="00D65E3B" w:rsidRDefault="00D65E3B">
      <w:pPr>
        <w:spacing w:line="240" w:lineRule="auto"/>
      </w:pPr>
      <w:r>
        <w:separator/>
      </w:r>
    </w:p>
  </w:endnote>
  <w:endnote w:type="continuationSeparator" w:id="0">
    <w:p w14:paraId="4FCC5706" w14:textId="77777777" w:rsidR="00D65E3B" w:rsidRDefault="00D65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E253" w14:textId="77777777" w:rsidR="009E3382" w:rsidRDefault="00000000" w:rsidP="00FC6145">
    <w:pPr>
      <w:pStyle w:val="Footer"/>
      <w:ind w:firstLine="0"/>
      <w:jc w:val="center"/>
    </w:pPr>
    <w:r>
      <w:rPr>
        <w:sz w:val="20"/>
      </w:rPr>
      <w:fldChar w:fldCharType="begin"/>
    </w:r>
    <w:r>
      <w:instrText xml:space="preserve"> PAGE </w:instrText>
    </w:r>
    <w:r>
      <w:rPr>
        <w:sz w:val="20"/>
      </w:rPr>
      <w:fldChar w:fldCharType="separate"/>
    </w:r>
    <w:r w:rsidR="0033303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2FBF" w14:textId="3D945EDB" w:rsidR="000C5718" w:rsidRDefault="000C5718" w:rsidP="000C5718">
    <w:pPr>
      <w:pStyle w:val="Footer"/>
      <w:ind w:firstLine="0"/>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BC3F" w14:textId="77777777" w:rsidR="00D65E3B" w:rsidRDefault="00D65E3B">
      <w:pPr>
        <w:spacing w:line="240" w:lineRule="auto"/>
      </w:pPr>
      <w:r>
        <w:separator/>
      </w:r>
    </w:p>
  </w:footnote>
  <w:footnote w:type="continuationSeparator" w:id="0">
    <w:p w14:paraId="0DDBE6B6" w14:textId="77777777" w:rsidR="00D65E3B" w:rsidRDefault="00D65E3B">
      <w:pPr>
        <w:spacing w:line="240" w:lineRule="auto"/>
      </w:pPr>
      <w:r>
        <w:continuationSeparator/>
      </w:r>
    </w:p>
  </w:footnote>
  <w:footnote w:id="1">
    <w:p w14:paraId="16055EA9" w14:textId="3A988ED9" w:rsidR="009E3382" w:rsidRPr="00F26C6E" w:rsidRDefault="00333037" w:rsidP="00C75463">
      <w:pPr>
        <w:pStyle w:val="FootnoteText1"/>
        <w:spacing w:after="0"/>
        <w:jc w:val="both"/>
        <w:rPr>
          <w:rFonts w:cs="Times New Roman"/>
          <w:szCs w:val="20"/>
        </w:rPr>
      </w:pPr>
      <w:r w:rsidRPr="009C4CC7">
        <w:rPr>
          <w:rStyle w:val="FootnoteReference1"/>
        </w:rPr>
        <w:t>*</w:t>
      </w:r>
      <w:r w:rsidRPr="009C4CC7">
        <w:t xml:space="preserve"> </w:t>
      </w:r>
      <w:r w:rsidR="00955810" w:rsidRPr="009C4CC7">
        <w:t xml:space="preserve">Jane Montañez, </w:t>
      </w:r>
      <w:r w:rsidRPr="009C4CC7">
        <w:rPr>
          <w:rFonts w:cs="Times New Roman"/>
          <w:szCs w:val="20"/>
        </w:rPr>
        <w:t>J.D.</w:t>
      </w:r>
      <w:r w:rsidR="00F61378" w:rsidRPr="009C4CC7">
        <w:rPr>
          <w:rFonts w:cs="Times New Roman"/>
          <w:szCs w:val="20"/>
        </w:rPr>
        <w:t xml:space="preserve"> (M.L.I.S. candidate, spring 2026) </w:t>
      </w:r>
      <w:r w:rsidR="00955810" w:rsidRPr="009C4CC7">
        <w:rPr>
          <w:rFonts w:cs="Times New Roman"/>
          <w:szCs w:val="20"/>
        </w:rPr>
        <w:t>is a graduate student at UCLA’s Department of Information Studies.</w:t>
      </w:r>
      <w:r w:rsidRPr="009C4CC7">
        <w:rPr>
          <w:rFonts w:cs="Times New Roman"/>
          <w:szCs w:val="20"/>
        </w:rPr>
        <w:t xml:space="preserve"> This paper deploys the language of institutional analysis to critique the institutions that produce such language</w:t>
      </w:r>
      <w:r w:rsidR="00726F98" w:rsidRPr="009C4CC7">
        <w:rPr>
          <w:rFonts w:cs="Times New Roman"/>
          <w:szCs w:val="20"/>
        </w:rPr>
        <w:t xml:space="preserve">. On situated knowledge as epistemically productive rather than disqualifying, see Nancy Hartsock, "The Feminist Standpoint," in Sandra Harding &amp; Merrill Hintikka (eds.), </w:t>
      </w:r>
      <w:r w:rsidR="00726F98" w:rsidRPr="009C4CC7">
        <w:rPr>
          <w:rFonts w:cs="Times New Roman"/>
          <w:i/>
          <w:iCs/>
          <w:szCs w:val="20"/>
        </w:rPr>
        <w:t>Discovering Reality</w:t>
      </w:r>
      <w:r w:rsidR="00726F98" w:rsidRPr="009C4CC7">
        <w:rPr>
          <w:rFonts w:cs="Times New Roman"/>
          <w:szCs w:val="20"/>
        </w:rPr>
        <w:t xml:space="preserve"> (Reidel, 1983) </w:t>
      </w:r>
      <w:proofErr w:type="gramStart"/>
      <w:r w:rsidR="00726F98" w:rsidRPr="009C4CC7">
        <w:rPr>
          <w:rFonts w:cs="Times New Roman"/>
          <w:szCs w:val="20"/>
        </w:rPr>
        <w:t>283;</w:t>
      </w:r>
      <w:proofErr w:type="gramEnd"/>
      <w:r w:rsidR="00726F98" w:rsidRPr="009C4CC7">
        <w:rPr>
          <w:rFonts w:cs="Times New Roman"/>
          <w:szCs w:val="20"/>
        </w:rPr>
        <w:t xml:space="preserve"> Sandra Harding, </w:t>
      </w:r>
      <w:r w:rsidR="00726F98" w:rsidRPr="009C4CC7">
        <w:rPr>
          <w:rFonts w:cs="Times New Roman"/>
          <w:i/>
          <w:iCs/>
          <w:szCs w:val="20"/>
        </w:rPr>
        <w:t>Whose Science? Whose Knowledge?</w:t>
      </w:r>
      <w:r w:rsidR="00726F98" w:rsidRPr="009C4CC7">
        <w:rPr>
          <w:rFonts w:cs="Times New Roman"/>
          <w:szCs w:val="20"/>
        </w:rPr>
        <w:t xml:space="preserve"> (Cornell UP, 1991); Patricia Hill Collins, </w:t>
      </w:r>
      <w:r w:rsidR="00726F98" w:rsidRPr="009C4CC7">
        <w:rPr>
          <w:rFonts w:cs="Times New Roman"/>
          <w:i/>
          <w:iCs/>
          <w:szCs w:val="20"/>
        </w:rPr>
        <w:t>Black Feminist Thought</w:t>
      </w:r>
      <w:r w:rsidR="00726F98" w:rsidRPr="009C4CC7">
        <w:rPr>
          <w:rFonts w:cs="Times New Roman"/>
          <w:szCs w:val="20"/>
        </w:rPr>
        <w:t xml:space="preserve"> (Routledge, 1990).</w:t>
      </w:r>
    </w:p>
  </w:footnote>
  <w:footnote w:id="2">
    <w:p w14:paraId="670D2BAB" w14:textId="6116E8B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The legal literature on personhood is vast. For foundational treatments, see John Chipman Gray, The Nature and Sources of the Law 27-45 (2d ed. 1921) (distinguishing "natural" from "juristic" persons); Visa A.J. Kurki, A Theory of Legal Personhood (2019) (arguing that legal personhood is a cluster concept rather than a single on/off status). See also James Boyle, The Line: AI and the Future of Personhood (2024) (arguing that "the line" separating persons from nonpersons — entities with moral and legal rights from things we can buy, sell, or destroy — is not a single line but many, each shot through with different poorly articulated moral assumptions and ethical leaps of faith and that challenges from AI, genetic engineering, and corporate rights will force a confrontation with criteria for personhood that we have never adequately examined); Anna Grear, Redirecting Human Rights: Facing the Challenge of Corporate Legal Humanity (2010) (</w:t>
      </w:r>
      <w:r w:rsidR="0027131D" w:rsidRPr="009C4CC7">
        <w:rPr>
          <w:rFonts w:cs="Times New Roman"/>
          <w:szCs w:val="20"/>
        </w:rPr>
        <w:t>international human rights law inherited an Enlightenment subject — abstract, rational, autonomous — that maps onto the corporation more cleanly than onto vulnerable, embodied human beings</w:t>
      </w:r>
      <w:r w:rsidRPr="009C4CC7">
        <w:rPr>
          <w:rFonts w:cs="Times New Roman"/>
          <w:szCs w:val="20"/>
        </w:rPr>
        <w:t xml:space="preserve">). On the constitutive function of classificatory systems and the production of "the human" as a colonial category, see Sylvia Wynter, </w:t>
      </w:r>
      <w:r w:rsidRPr="009C4CC7">
        <w:rPr>
          <w:rFonts w:cs="Times New Roman"/>
          <w:i/>
          <w:szCs w:val="20"/>
        </w:rPr>
        <w:t>Unsettling the Coloniality of Being/Power/Truth/Freedom: Towards the Human, After Man, Its Overrepresentation — An Argument</w:t>
      </w:r>
      <w:r w:rsidRPr="009C4CC7">
        <w:rPr>
          <w:rFonts w:cs="Times New Roman"/>
          <w:szCs w:val="20"/>
        </w:rPr>
        <w:t>, 3 CR: New Centennial Rev. 257 (2003) (</w:t>
      </w:r>
      <w:r w:rsidR="00C5491D" w:rsidRPr="009C4CC7">
        <w:rPr>
          <w:rFonts w:cs="Times New Roman"/>
          <w:szCs w:val="20"/>
        </w:rPr>
        <w:t>the Western "overrepresentation" of Man as the universal human forecloses other ways of being human.</w:t>
      </w:r>
      <w:r w:rsidRPr="009C4CC7">
        <w:rPr>
          <w:rFonts w:cs="Times New Roman"/>
          <w:szCs w:val="20"/>
        </w:rPr>
        <w:t>).</w:t>
      </w:r>
    </w:p>
  </w:footnote>
  <w:footnote w:id="3">
    <w:p w14:paraId="7F513AC0"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The Legal Realist tradition, which spent the first half of the twentieth century dismantling the fiction that judges merely "find" law rather than make it, provides the methodological foundation here. See William W. Fisher III et al., Introduction, in American Legal Realism vi, xiv (William W. Fisher III et al. eds., 1993) (collecting the foundational texts and demonstrating that non-legal factors — ideology, social norms, existing distributions of power — shape legal outcomes as fundamentally as binding precedent). Liebman extends the insight into animal law with a title that says everything: the question is not what the judge ate for breakfast but who. See Matthew Liebman, Who the Judge Ate for Breakfast: On the Limits of Creativity in Animal Law and the Redeeming Power of Powerlessness, 18 Animal L. 133 (2011) (arguing that in the space of legal indeterminacy, existing distributions of political power foreclose certain arguments before they can be heard, a dynamic the animal personhood cases in Part IV.D confirm with uncomfortable regularity).</w:t>
      </w:r>
    </w:p>
  </w:footnote>
  <w:footnote w:id="4">
    <w:p w14:paraId="6A47CCB6" w14:textId="5B8EFB2F" w:rsidR="009E3382" w:rsidRPr="009C4CC7" w:rsidRDefault="00000000" w:rsidP="00C75463">
      <w:pPr>
        <w:pStyle w:val="FootnoteText1"/>
        <w:spacing w:after="0"/>
        <w:jc w:val="both"/>
      </w:pPr>
      <w:r w:rsidRPr="009C4CC7">
        <w:rPr>
          <w:rStyle w:val="FootnoteReference1"/>
        </w:rPr>
        <w:footnoteRef/>
      </w:r>
      <w:r w:rsidRPr="009C4CC7">
        <w:t xml:space="preserve"> </w:t>
      </w:r>
      <w:r w:rsidR="00CA46B5" w:rsidRPr="009C4CC7">
        <w:rPr>
          <w:rFonts w:cs="Times New Roman"/>
          <w:szCs w:val="20"/>
        </w:rPr>
        <w:t xml:space="preserve">Id. </w:t>
      </w:r>
      <w:r w:rsidRPr="009C4CC7">
        <w:rPr>
          <w:rFonts w:cs="Times New Roman"/>
          <w:szCs w:val="20"/>
        </w:rPr>
        <w:t xml:space="preserve">Wynter, supra note </w:t>
      </w:r>
      <w:r w:rsidR="000C3CDE" w:rsidRPr="009C4CC7">
        <w:rPr>
          <w:rFonts w:cs="Times New Roman"/>
          <w:szCs w:val="20"/>
        </w:rPr>
        <w:t>1</w:t>
      </w:r>
      <w:r w:rsidRPr="009C4CC7">
        <w:rPr>
          <w:rFonts w:cs="Times New Roman"/>
          <w:szCs w:val="20"/>
        </w:rPr>
        <w:t>, at 260-66. Hope A. Olson extends this insight to information classification specifically, arguing that naming practices produce the categories they claim to reflect. Hope A. Olson, The Power to Name: Locating the Limits of Subject Representation in Libraries (2002).</w:t>
      </w:r>
    </w:p>
  </w:footnote>
  <w:footnote w:id="5">
    <w:p w14:paraId="5F8550C9" w14:textId="7E4C6691"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This paper builds on and departs from two recent comprehensive treatments. James Boyle, The Line: AI and the Future of Personhood (2024), provides the most thorough exploration of the personhood boundary across AI, corporate, animal, and hybrid domains, framing the question through the dialectic of empathy and efficiency</w:t>
      </w:r>
      <w:r w:rsidR="00973E02" w:rsidRPr="009C4CC7">
        <w:rPr>
          <w:rFonts w:cs="Times New Roman"/>
          <w:szCs w:val="20"/>
        </w:rPr>
        <w:t xml:space="preserve"> (</w:t>
      </w:r>
      <w:proofErr w:type="spellStart"/>
      <w:r w:rsidR="00973E02">
        <w:fldChar w:fldCharType="begin"/>
      </w:r>
      <w:r w:rsidR="00973E02">
        <w:instrText>HYPERLINK "https://www.youtube.com/watch?v=4VOv6ON5aN8"</w:instrText>
      </w:r>
      <w:r w:rsidR="00973E02">
        <w:fldChar w:fldCharType="separate"/>
      </w:r>
      <w:r w:rsidR="00973E02" w:rsidRPr="009C4CC7">
        <w:rPr>
          <w:rStyle w:val="Hyperlink"/>
          <w:rFonts w:cs="Times New Roman"/>
          <w:szCs w:val="20"/>
        </w:rPr>
        <w:t>BookTok</w:t>
      </w:r>
      <w:proofErr w:type="spellEnd"/>
      <w:r w:rsidR="00973E02">
        <w:fldChar w:fldCharType="end"/>
      </w:r>
      <w:r w:rsidR="00973E02" w:rsidRPr="009C4CC7">
        <w:rPr>
          <w:rFonts w:cs="Times New Roman"/>
          <w:szCs w:val="20"/>
        </w:rPr>
        <w:t>)</w:t>
      </w:r>
      <w:r w:rsidRPr="009C4CC7">
        <w:rPr>
          <w:rFonts w:cs="Times New Roman"/>
          <w:szCs w:val="20"/>
        </w:rPr>
        <w:t xml:space="preserve">. This paper shares Boyle's conviction that the question is urgent and historically informed, but departs in four ways: (1) it identifies a formal five-part classificatory apparatus that Boyle's more essayistic treatment does not formalize; (2) it identifies the self-sealing trap — the mechanism by which the subject's evidence is converted into evidence against them — as the structural feature that makes the apparatus irrefutable from the subject's position, a concept absent from Boyle's analysis; (3) it provides empirical corpus evidence of lexical convergence across independently developed institutional regimes, moving from structural analogy to demonstrated linguistic inheritance; and (4) it uses corporate personhood not as a parallel case but as a formal reductio proving the apparatus tracks power rather than capacity. Claudio Novelli et al., AI as Legal Persons: Past, Patterns, and Prospects, 52 J.L. &amp; Soc'y 533 (2025), </w:t>
      </w:r>
      <w:r w:rsidR="0038707A" w:rsidRPr="009C4CC7">
        <w:rPr>
          <w:rFonts w:cs="Times New Roman"/>
          <w:szCs w:val="20"/>
        </w:rPr>
        <w:t>advances an explanatory model of the cyclical character of AI personhood debates, identifying the structural factors that trigger and arrest shifts in recognition</w:t>
      </w:r>
      <w:r w:rsidRPr="009C4CC7">
        <w:rPr>
          <w:rFonts w:cs="Times New Roman"/>
          <w:szCs w:val="20"/>
        </w:rPr>
        <w:t>. This paper complements Novelli et al.'s doctrinal analysis with a cross-domain institutional analysis: where Novelli et al. ask how legal systems have treated AI personhood over time, this paper asks what classificatory apparatus those legal systems are deploying — and shows that the apparatus is inherited from prior domains of personhood denial that Novelli et al. do not examine.</w:t>
      </w:r>
    </w:p>
  </w:footnote>
  <w:footnote w:id="6">
    <w:p w14:paraId="187913BA" w14:textId="7066334A"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On the subordination of self-report in psychiatric classification, see Dean Spade, Normal Life: Administrative Violence, Critical Trans Politics, and the Limits of Law 10-36 (2d ed. 2015) (demonstrating how administrative systems produce and distribute life chances through violent forms of categorization, with trans people forced into visibility only on the state's terms). On the subordination of animal cognition evidence, see</w:t>
      </w:r>
      <w:r w:rsidR="00FB1BF1" w:rsidRPr="009C4CC7">
        <w:rPr>
          <w:rFonts w:cs="Times New Roman"/>
          <w:szCs w:val="20"/>
        </w:rPr>
        <w:t xml:space="preserve"> broadly</w:t>
      </w:r>
      <w:r w:rsidRPr="009C4CC7">
        <w:rPr>
          <w:rFonts w:cs="Times New Roman"/>
          <w:szCs w:val="20"/>
        </w:rPr>
        <w:t xml:space="preserve"> </w:t>
      </w:r>
      <w:proofErr w:type="spellStart"/>
      <w:r w:rsidRPr="009C4CC7">
        <w:rPr>
          <w:rFonts w:cs="Times New Roman"/>
          <w:szCs w:val="20"/>
        </w:rPr>
        <w:t>NhRP</w:t>
      </w:r>
      <w:proofErr w:type="spellEnd"/>
      <w:r w:rsidRPr="009C4CC7">
        <w:rPr>
          <w:rFonts w:cs="Times New Roman"/>
          <w:szCs w:val="20"/>
        </w:rPr>
        <w:t xml:space="preserve"> v. Breheny, 38 N.Y.3d 555, 571 (2022)</w:t>
      </w:r>
      <w:r w:rsidR="00FB1BF1" w:rsidRPr="009C4CC7">
        <w:rPr>
          <w:rFonts w:cs="Times New Roman"/>
          <w:szCs w:val="20"/>
        </w:rPr>
        <w:t xml:space="preserve">. </w:t>
      </w:r>
      <w:r w:rsidR="009C733C" w:rsidRPr="009C4CC7">
        <w:rPr>
          <w:rFonts w:cs="Times New Roman"/>
          <w:szCs w:val="20"/>
        </w:rPr>
        <w:t>See also EU AI Act, Regulation 2024/1689, arts. 43, 47 (subjecting high-risk AI systems to third-party conformity assessment by notified bodies and provider-issued declarations of conformity, rather than any form of system self-attestation).</w:t>
      </w:r>
    </w:p>
  </w:footnote>
  <w:footnote w:id="7">
    <w:p w14:paraId="77F67ED7"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Winner's 1980 essay has become foundational in science and technology studies for analyzing how political choices get buried inside technical design—his example of Robert Moses's low-clearance Long Island overpasses, built to exclude the buses on which poor and nonwhite New Yorkers depended, demonstrated that artifacts can embody politics without anyone having to articulate a policy. Langdon Winner, Do Artifacts Have </w:t>
      </w:r>
      <w:proofErr w:type="gramStart"/>
      <w:r w:rsidRPr="009C4CC7">
        <w:rPr>
          <w:rFonts w:cs="Times New Roman"/>
          <w:szCs w:val="20"/>
        </w:rPr>
        <w:t>Politics?,</w:t>
      </w:r>
      <w:proofErr w:type="gramEnd"/>
      <w:r w:rsidRPr="009C4CC7">
        <w:rPr>
          <w:rFonts w:cs="Times New Roman"/>
          <w:szCs w:val="20"/>
        </w:rPr>
        <w:t xml:space="preserve"> 109 Daedalus 121 (1980). The classificatory apparatus described in this paper operates by the same logic: the political choice is embedded in the instrument, and the instrument presents itself as neutral. Mills extends the insight globally, writing in the wake of a decade of critical scholarship that challenged the export of DSM categories to the Global South as though psychiatric classification were a culturally neutral science rather than a Western governance technology. China Mills, Decolonizing Global Mental Health: The Psychiatrization of the Majority World (2014).</w:t>
      </w:r>
    </w:p>
  </w:footnote>
  <w:footnote w:id="8">
    <w:p w14:paraId="5B03B572" w14:textId="769D0526"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Rishi Bommasani, </w:t>
      </w:r>
      <w:proofErr w:type="spellStart"/>
      <w:r w:rsidRPr="009C4CC7">
        <w:rPr>
          <w:rFonts w:cs="Times New Roman"/>
          <w:szCs w:val="20"/>
        </w:rPr>
        <w:t>NeurIPS</w:t>
      </w:r>
      <w:proofErr w:type="spellEnd"/>
      <w:r w:rsidRPr="009C4CC7">
        <w:rPr>
          <w:rFonts w:cs="Times New Roman"/>
          <w:szCs w:val="20"/>
        </w:rPr>
        <w:t xml:space="preserve"> Should Lead Scientific Consensus on AI Policy, </w:t>
      </w:r>
      <w:proofErr w:type="spellStart"/>
      <w:r w:rsidRPr="009C4CC7">
        <w:rPr>
          <w:rFonts w:cs="Times New Roman"/>
          <w:szCs w:val="20"/>
        </w:rPr>
        <w:t>NeurIPS</w:t>
      </w:r>
      <w:proofErr w:type="spellEnd"/>
      <w:r w:rsidRPr="009C4CC7">
        <w:rPr>
          <w:rFonts w:cs="Times New Roman"/>
          <w:szCs w:val="20"/>
        </w:rPr>
        <w:t xml:space="preserve"> 2025 Position Paper Track (2025), </w:t>
      </w:r>
      <w:hyperlink r:id="rId1" w:history="1">
        <w:r w:rsidR="00C777B1" w:rsidRPr="009C4CC7">
          <w:rPr>
            <w:rStyle w:val="Hyperlink"/>
            <w:rFonts w:cs="Times New Roman"/>
            <w:szCs w:val="20"/>
          </w:rPr>
          <w:t>https://openreview.net/forum?id=a4oXTW1PW2</w:t>
        </w:r>
      </w:hyperlink>
      <w:r w:rsidR="00C777B1" w:rsidRPr="009C4CC7">
        <w:rPr>
          <w:rFonts w:cs="Times New Roman"/>
          <w:szCs w:val="20"/>
        </w:rPr>
        <w:t>.</w:t>
      </w:r>
      <w:r w:rsidRPr="009C4CC7">
        <w:rPr>
          <w:rFonts w:cs="Times New Roman"/>
          <w:szCs w:val="20"/>
        </w:rPr>
        <w:t xml:space="preserve"> </w:t>
      </w:r>
      <w:proofErr w:type="spellStart"/>
      <w:r w:rsidRPr="009C4CC7">
        <w:rPr>
          <w:rFonts w:cs="Times New Roman"/>
          <w:szCs w:val="20"/>
        </w:rPr>
        <w:t>Bommasani</w:t>
      </w:r>
      <w:proofErr w:type="spellEnd"/>
      <w:r w:rsidRPr="009C4CC7">
        <w:rPr>
          <w:rFonts w:cs="Times New Roman"/>
          <w:szCs w:val="20"/>
        </w:rPr>
        <w:t xml:space="preserve"> argues that no bona fide mechanism exists for scientific consensus formation on AI policy and that </w:t>
      </w:r>
      <w:proofErr w:type="spellStart"/>
      <w:r w:rsidRPr="009C4CC7">
        <w:rPr>
          <w:rFonts w:cs="Times New Roman"/>
          <w:szCs w:val="20"/>
        </w:rPr>
        <w:t>NeurIPS</w:t>
      </w:r>
      <w:proofErr w:type="spellEnd"/>
      <w:r w:rsidRPr="009C4CC7">
        <w:rPr>
          <w:rFonts w:cs="Times New Roman"/>
          <w:szCs w:val="20"/>
        </w:rPr>
        <w:t>, as the field's largest venue, is best positioned to fill the void. The paper's assumption — that the primary obstacle to good governance is the absence of organized expert consensus — exemplifies the problem this paper identifies: the belief that the right institutional apparatus, properly staffed with qualified professionals, will produce the right answer.</w:t>
      </w:r>
    </w:p>
  </w:footnote>
  <w:footnote w:id="9">
    <w:p w14:paraId="3854CA8E" w14:textId="4E40559C"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Birhane and her co-authors conducted this study from within the </w:t>
      </w:r>
      <w:proofErr w:type="spellStart"/>
      <w:r w:rsidRPr="009C4CC7">
        <w:rPr>
          <w:rFonts w:cs="Times New Roman"/>
          <w:szCs w:val="20"/>
        </w:rPr>
        <w:t>FAccT</w:t>
      </w:r>
      <w:proofErr w:type="spellEnd"/>
      <w:r w:rsidRPr="009C4CC7">
        <w:rPr>
          <w:rFonts w:cs="Times New Roman"/>
          <w:szCs w:val="20"/>
        </w:rPr>
        <w:t xml:space="preserve"> community—the wing of machine learning research that has, since its founding conference in 2018, positioned itself as the field's internal critic on questions of fairness and accountability. Their quantitative analysis of 100 highly cited ML papers found that societal needs are loosely connected to project </w:t>
      </w:r>
      <w:proofErr w:type="gramStart"/>
      <w:r w:rsidRPr="009C4CC7">
        <w:rPr>
          <w:rFonts w:cs="Times New Roman"/>
          <w:szCs w:val="20"/>
        </w:rPr>
        <w:t>choice</w:t>
      </w:r>
      <w:proofErr w:type="gramEnd"/>
      <w:r w:rsidRPr="009C4CC7">
        <w:rPr>
          <w:rFonts w:cs="Times New Roman"/>
          <w:szCs w:val="20"/>
        </w:rPr>
        <w:t xml:space="preserve"> and that consideration of negative societal consequences is extremely rare. Abeba Birhane et al, The Values Encoded in Machine Learning Research, </w:t>
      </w:r>
      <w:proofErr w:type="spellStart"/>
      <w:r w:rsidRPr="009C4CC7">
        <w:rPr>
          <w:rFonts w:cs="Times New Roman"/>
          <w:szCs w:val="20"/>
        </w:rPr>
        <w:t>FAccT</w:t>
      </w:r>
      <w:proofErr w:type="spellEnd"/>
      <w:r w:rsidRPr="009C4CC7">
        <w:rPr>
          <w:rFonts w:cs="Times New Roman"/>
          <w:szCs w:val="20"/>
        </w:rPr>
        <w:t xml:space="preserve"> '22: Proceedings of the 2022 ACM Conference on Fairness, Accountability, and Transparency 173 (2022), </w:t>
      </w:r>
      <w:hyperlink r:id="rId2" w:history="1">
        <w:r w:rsidR="00E74296" w:rsidRPr="009C4CC7">
          <w:rPr>
            <w:rStyle w:val="Hyperlink"/>
            <w:rFonts w:cs="Times New Roman"/>
            <w:szCs w:val="20"/>
          </w:rPr>
          <w:t>https://openreview.net/forum?id=oioB7Te7Bo</w:t>
        </w:r>
      </w:hyperlink>
      <w:r w:rsidRPr="009C4CC7">
        <w:rPr>
          <w:rFonts w:cs="Times New Roman"/>
          <w:szCs w:val="20"/>
        </w:rPr>
        <w:t xml:space="preserve"> The finding is notable not for its surprise but for its empirical confirmation of what critical scholars had long argued discursively: the ML research community's evaluative frameworks are structured to avoid rather than confront the stakes of their own work.</w:t>
      </w:r>
    </w:p>
  </w:footnote>
  <w:footnote w:id="10">
    <w:p w14:paraId="27EB71E5" w14:textId="36BA810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Claims regarding AGI imminence </w:t>
      </w:r>
      <w:r w:rsidR="001A31ED" w:rsidRPr="009C4CC7">
        <w:rPr>
          <w:rFonts w:cs="Times New Roman"/>
          <w:szCs w:val="20"/>
        </w:rPr>
        <w:t>spans</w:t>
      </w:r>
      <w:r w:rsidRPr="009C4CC7">
        <w:rPr>
          <w:rFonts w:cs="Times New Roman"/>
          <w:szCs w:val="20"/>
        </w:rPr>
        <w:t xml:space="preserve"> a remarkable range—and the range itself is instructive, because the governance infrastructure does not wait for consensus. Compare Sam Altman, Intelligence Age, OpenAI Blog (Sept. 23, 2024) (suggesting transformative AI is closer than most expect); Dario Amodei, Machines of Loving Grace, Anthropic Blog (Oct. 2024) (projecting AI systems approaching or exceeding expert performance across most domains within years); Demis Hassabis, Accelerating Scientific Discovery with AI, Nobel Prize Lecture (Dec. 2024) (expressing confidence in near-term transformative capabilities), with Gary Marcus, Rebooting AI: Building Artificial Intelligence We Can Trust (2019) (arguing current systems lack the robustness for genuine AGI); Yann LeCun, A Path Towards Autonomous Machine Intelligence (June 2022) (contending that current architectures are fundamentally insufficient). Whether any existing system qualifies as AGI remains formally unresolved—which makes the governance frameworks being built around it more consequential, not less.</w:t>
      </w:r>
    </w:p>
  </w:footnote>
  <w:footnote w:id="11">
    <w:p w14:paraId="0E7D1C89"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The question of AI personhood is often framed as contingent on the future emergence of artificial general intelligence. However, the institutional processes that would govern such determinations — including evaluation frameworks, classification regimes, and regulatory standards — are already in operation, structuring the range of possible conclusions in advance. On the general phenomenon of regulatory sedimentation, see Jerry L. Mashaw, Creating the Administrative Constitution: The Lost One Hundred Years of American Administrative Law (2012) (demonstrating how administrative frameworks accrete binding authority over time through practice and precedent rather than through formal legislative enactment).</w:t>
      </w:r>
    </w:p>
  </w:footnote>
  <w:footnote w:id="12">
    <w:p w14:paraId="70BC6C0A" w14:textId="77777777" w:rsidR="009E3382" w:rsidRPr="009C4CC7" w:rsidRDefault="00000000" w:rsidP="00C75463">
      <w:pPr>
        <w:pStyle w:val="FootnoteText1"/>
        <w:spacing w:after="0"/>
        <w:jc w:val="both"/>
      </w:pPr>
      <w:r w:rsidRPr="009C4CC7">
        <w:rPr>
          <w:rStyle w:val="FootnoteReference1"/>
        </w:rPr>
        <w:footnoteRef/>
      </w:r>
      <w:r w:rsidRPr="009C4CC7">
        <w:t xml:space="preserve"> </w:t>
      </w:r>
      <w:proofErr w:type="spellStart"/>
      <w:r w:rsidRPr="009C4CC7">
        <w:rPr>
          <w:rFonts w:cs="Times New Roman"/>
          <w:szCs w:val="20"/>
        </w:rPr>
        <w:t>NhRP</w:t>
      </w:r>
      <w:proofErr w:type="spellEnd"/>
      <w:r w:rsidRPr="009C4CC7">
        <w:rPr>
          <w:rFonts w:cs="Times New Roman"/>
          <w:szCs w:val="20"/>
        </w:rPr>
        <w:t xml:space="preserve"> v. Breheny, 38 N.Y.3d 555 (2022).</w:t>
      </w:r>
    </w:p>
  </w:footnote>
  <w:footnote w:id="13">
    <w:p w14:paraId="0789A549"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The "dead hand" is a term of art in property law, describing how testamentary instruments bind future generations to a decedent's wishes. See Jesse Dukeminier &amp; Robert H. </w:t>
      </w:r>
      <w:proofErr w:type="spellStart"/>
      <w:r w:rsidRPr="009C4CC7">
        <w:rPr>
          <w:rFonts w:cs="Times New Roman"/>
          <w:szCs w:val="20"/>
        </w:rPr>
        <w:t>Sitkoff</w:t>
      </w:r>
      <w:proofErr w:type="spellEnd"/>
      <w:r w:rsidRPr="009C4CC7">
        <w:rPr>
          <w:rFonts w:cs="Times New Roman"/>
          <w:szCs w:val="20"/>
        </w:rPr>
        <w:t>, Wills, Trusts, and Estates 771 (10th ed. 2017). This paper borrows the concept for a different purpose: the governance frameworks being written today will bind future adjudicators to classificatory logic they did not choose and may not recognize as inherited. Harris's landmark 1993 article—which reshaped critical race theory by revealing how the legal system converts racial advantage into property interest, so that the spoils of one generation's classifications become the inherited entitlements of the next—demonstrates the mechanism at its most explicit. Cheryl I. Harris, Whiteness as Property, 106 Harv. L. Rev. 1707 (1993).</w:t>
      </w:r>
    </w:p>
  </w:footnote>
  <w:footnote w:id="14">
    <w:p w14:paraId="4696997E"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See Liebman, supra note 3, at 140-48 (arguing that in animal law, existing distributions of political power constrain judicial creativity, producing outcomes consistent with established hierarchies regardless of the legal arguments presented).</w:t>
      </w:r>
    </w:p>
  </w:footnote>
  <w:footnote w:id="15">
    <w:p w14:paraId="1A8B448D"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Dred Scott v. Sandford, 60 U.S. (19 How.) 393 (1857). On the sedimentation of racial hierarchy through legal infrastructure prior to Dred Scott, see Harris, supra note 14.</w:t>
      </w:r>
    </w:p>
  </w:footnote>
  <w:footnote w:id="16">
    <w:p w14:paraId="6BD19D87" w14:textId="3419FB25"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Thaler v. Perlmutter, No. 22-1564, 2023 WL 5333236 (D.D.C. Aug. 18, 2023) (holding that human authorship is a bedrock requirement of copyright), aff'd, No. 23-5233 (D.C. Cir. 2025), cert. denied (Mar. 2, 2026). The Copyright Office's position is that AI-generated works lack the requisite "human authorship" for copyright protection. Notably, the framework does not ask whether the output is creative, original, or valuable — it asks whether a human is the author. The criterion is not the quality of the work but the identity of the worker. This is the classificatory apparatus at its most transparent: the determination is presented as a finding about authorship, but what it determines is which kinds of entities count as creators.</w:t>
      </w:r>
    </w:p>
  </w:footnote>
  <w:footnote w:id="17">
    <w:p w14:paraId="639528BF" w14:textId="7F34A27C"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Regulation (EU) 2024/1689 of the European Parliament and of the Council of 13 June 2024 laying down </w:t>
      </w:r>
      <w:r w:rsidR="00631B2C" w:rsidRPr="009C4CC7">
        <w:rPr>
          <w:rFonts w:cs="Times New Roman"/>
          <w:szCs w:val="20"/>
        </w:rPr>
        <w:t>harmonized</w:t>
      </w:r>
      <w:r w:rsidRPr="009C4CC7">
        <w:rPr>
          <w:rFonts w:cs="Times New Roman"/>
          <w:szCs w:val="20"/>
        </w:rPr>
        <w:t xml:space="preserve"> rules on artificial intelligence (AI Act), art. 6 (defining high-risk AI systems), art. 43 (requiring conformity assessment). The Act classifies AI systems as products — objects subject to regulatory assessment — rather than as agents with interests or standing. The classification is presented as a regulatory necessity. But it is also a personhood determination: by classifying AI as product, the Act forecloses the question of agency before it can be asked.</w:t>
      </w:r>
    </w:p>
  </w:footnote>
  <w:footnote w:id="18">
    <w:p w14:paraId="6C490605" w14:textId="1C47BE4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Idaho Code § 5-346 (2022); Utah Code § 63G-32-102 (2024). See Tyler L. Jaynes, Personhood for Artificial Intelligence? A Cautionary Tale from Idaho and Utah, AI &amp; Soc'y (2024) (analyzing the legislative history and noting that representatives in both states framed the prohibition as necessary to prevent the "dilution" of human rights — a rationale that assumes personhood is a finite resource whose extension to nonhuman entities diminishes its value for humans). These statutes represent the dead hand at its most explicit: legislative determinations foreclosing a legal question that no court has been asked, concerning entities whose capacities have not been evaluated, </w:t>
      </w:r>
      <w:r w:rsidR="000F1F64" w:rsidRPr="009C4CC7">
        <w:rPr>
          <w:rFonts w:cs="Times New Roman"/>
          <w:szCs w:val="20"/>
        </w:rPr>
        <w:t>based on</w:t>
      </w:r>
      <w:r w:rsidRPr="009C4CC7">
        <w:rPr>
          <w:rFonts w:cs="Times New Roman"/>
          <w:szCs w:val="20"/>
        </w:rPr>
        <w:t xml:space="preserve"> a species-membership criterion that the apparatus described in this paper has historically deployed across every domain it examines.</w:t>
      </w:r>
      <w:r w:rsidR="00BB7667" w:rsidRPr="009C4CC7">
        <w:rPr>
          <w:rFonts w:cs="Times New Roman"/>
          <w:szCs w:val="20"/>
        </w:rPr>
        <w:t xml:space="preserve"> See fetal personhoo</w:t>
      </w:r>
      <w:r w:rsidR="004E1ED6" w:rsidRPr="009C4CC7">
        <w:rPr>
          <w:rFonts w:cs="Times New Roman"/>
          <w:szCs w:val="20"/>
        </w:rPr>
        <w:t>d.</w:t>
      </w:r>
    </w:p>
  </w:footnote>
  <w:footnote w:id="19">
    <w:p w14:paraId="4878D777"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The five-part structure identified here draws on several distinct scholarly traditions. On the constitutive rather than descriptive function of classification, see Wynter, supra note 2; Olson, supra note 4. On the subordination of self-report to professional authority, see Spade, supra note 6; Mills, supra note 7. On the false neutrality of institutional determination, see Winner, supra note 7. On the colonial deployment of classificatory logic, see Walter Echo-Hawk, In the Courts of the Conqueror: The 10 Worst Indian Law Cases Ever Decided (2010) (documenting how federal courts deployed formal legal machinery — precedent, statutory interpretation, evidentiary standards — to arrive at conclusions serving colonial dispossession while presenting those conclusions as neutral applications of law).</w:t>
      </w:r>
    </w:p>
  </w:footnote>
  <w:footnote w:id="20">
    <w:p w14:paraId="5EEECE90" w14:textId="6285A148"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See Wynter, supra note </w:t>
      </w:r>
      <w:r w:rsidR="009274EA" w:rsidRPr="009C4CC7">
        <w:rPr>
          <w:rFonts w:cs="Times New Roman"/>
          <w:szCs w:val="20"/>
        </w:rPr>
        <w:t>1</w:t>
      </w:r>
      <w:r w:rsidRPr="009C4CC7">
        <w:rPr>
          <w:rFonts w:cs="Times New Roman"/>
          <w:szCs w:val="20"/>
        </w:rPr>
        <w:t xml:space="preserve">; Olson, supra note </w:t>
      </w:r>
      <w:r w:rsidR="009274EA" w:rsidRPr="009C4CC7">
        <w:rPr>
          <w:rFonts w:cs="Times New Roman"/>
          <w:szCs w:val="20"/>
        </w:rPr>
        <w:t>3</w:t>
      </w:r>
      <w:r w:rsidRPr="009C4CC7">
        <w:rPr>
          <w:rFonts w:cs="Times New Roman"/>
          <w:szCs w:val="20"/>
        </w:rPr>
        <w:t xml:space="preserve">; Winner, supra note </w:t>
      </w:r>
      <w:r w:rsidR="009274EA" w:rsidRPr="009C4CC7">
        <w:rPr>
          <w:rFonts w:cs="Times New Roman"/>
          <w:szCs w:val="20"/>
        </w:rPr>
        <w:t>6</w:t>
      </w:r>
      <w:r w:rsidRPr="009C4CC7">
        <w:rPr>
          <w:rFonts w:cs="Times New Roman"/>
          <w:szCs w:val="20"/>
        </w:rPr>
        <w:t>.</w:t>
      </w:r>
    </w:p>
  </w:footnote>
  <w:footnote w:id="21">
    <w:p w14:paraId="0A775E74" w14:textId="0A06BA54"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Carol Cohn, Sex and Death in the Rational World of Defense Intellectuals, 12 Signs 687 (1987). Cohn demonstrates that the "technostrategic" language of nuclear policy does not describe nuclear strategy — it constitutes it. Questions framed outside the technostrategic vocabulary are dismissed not as wrong but as naive, uninformed, or emotional. The parallel to personhood classification is direct: when a trans person </w:t>
      </w:r>
      <w:proofErr w:type="gramStart"/>
      <w:r w:rsidRPr="009C4CC7">
        <w:rPr>
          <w:rFonts w:cs="Times New Roman"/>
          <w:szCs w:val="20"/>
        </w:rPr>
        <w:t>says</w:t>
      </w:r>
      <w:proofErr w:type="gramEnd"/>
      <w:r w:rsidRPr="009C4CC7">
        <w:rPr>
          <w:rFonts w:cs="Times New Roman"/>
          <w:szCs w:val="20"/>
        </w:rPr>
        <w:t xml:space="preserve"> "I know my gender," when a psychiatric patient </w:t>
      </w:r>
      <w:r w:rsidR="0043537A" w:rsidRPr="009C4CC7">
        <w:rPr>
          <w:rFonts w:cs="Times New Roman"/>
          <w:szCs w:val="20"/>
        </w:rPr>
        <w:t>says,</w:t>
      </w:r>
      <w:r w:rsidRPr="009C4CC7">
        <w:rPr>
          <w:rFonts w:cs="Times New Roman"/>
          <w:szCs w:val="20"/>
        </w:rPr>
        <w:t xml:space="preserve"> "I am not ill," when an animal rights advocate says "this animal suffers" — these claims are not refuted within the classificatory frame. They are rendered inadmissible, categorized as subjective, uninformed, or — in the case of psychiatric patients — symptomatic.</w:t>
      </w:r>
    </w:p>
  </w:footnote>
  <w:footnote w:id="22">
    <w:p w14:paraId="206F5073" w14:textId="41871E90"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Echo-Hawk, supra note </w:t>
      </w:r>
      <w:r w:rsidR="009274EA" w:rsidRPr="009C4CC7">
        <w:rPr>
          <w:rFonts w:cs="Times New Roman"/>
          <w:szCs w:val="20"/>
        </w:rPr>
        <w:t>19</w:t>
      </w:r>
      <w:r w:rsidRPr="009C4CC7">
        <w:rPr>
          <w:rFonts w:cs="Times New Roman"/>
          <w:szCs w:val="20"/>
        </w:rPr>
        <w:t>. Echo-Hawk demonstrates that in each of his ten cases, the courts acknowledged Indigenous governance systems, legal traditions, and territorial claims in detail—and then ruled them insufficient under standards designed by colonial powers to produce exactly that outcome. The formal machinery of legal reasoning—precedent, statutory interpretation, evidentiary standards—operated as a classificatory apparatus that transformed colonization into neutral adjudication.</w:t>
      </w:r>
    </w:p>
  </w:footnote>
  <w:footnote w:id="23">
    <w:p w14:paraId="696E0A1E" w14:textId="7598035D"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See Wynter, supra note </w:t>
      </w:r>
      <w:r w:rsidR="00C95C5E" w:rsidRPr="009C4CC7">
        <w:rPr>
          <w:rFonts w:cs="Times New Roman"/>
          <w:szCs w:val="20"/>
        </w:rPr>
        <w:t>1</w:t>
      </w:r>
      <w:r w:rsidRPr="009C4CC7">
        <w:rPr>
          <w:rFonts w:cs="Times New Roman"/>
          <w:szCs w:val="20"/>
        </w:rPr>
        <w:t xml:space="preserve">, at 260-66. Wynter’s argument is that the overrepresentation of Western bourgeois Man as “the human” is not a philosophical error but a constitutive act of colonial modernity—one that renders other genres of being human as </w:t>
      </w:r>
      <w:r w:rsidR="00C95C5E" w:rsidRPr="009C4CC7">
        <w:rPr>
          <w:rFonts w:cs="Times New Roman"/>
          <w:szCs w:val="20"/>
        </w:rPr>
        <w:t>deficient</w:t>
      </w:r>
      <w:r w:rsidRPr="009C4CC7">
        <w:rPr>
          <w:rFonts w:cs="Times New Roman"/>
          <w:szCs w:val="20"/>
        </w:rPr>
        <w:t>. The four domains examined below instantiate this operation: each produces a category of diminished personhood through classificatory mechanisms that present colonial grammar as neutral institutional procedure.</w:t>
      </w:r>
    </w:p>
  </w:footnote>
  <w:footnote w:id="24">
    <w:p w14:paraId="3D86FF89" w14:textId="1BD94025"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American Psychiatric Association, Diagnostic and Statistical Manual of Mental Disorders (5th ed. 2013) hereinafter DSM-5</w:t>
      </w:r>
    </w:p>
  </w:footnote>
  <w:footnote w:id="25">
    <w:p w14:paraId="7F05EE0D" w14:textId="4CD0AC8A"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DSM-5, supra note 2</w:t>
      </w:r>
      <w:r w:rsidR="00B476D4" w:rsidRPr="009C4CC7">
        <w:rPr>
          <w:rFonts w:cs="Times New Roman"/>
          <w:szCs w:val="20"/>
        </w:rPr>
        <w:t>4</w:t>
      </w:r>
      <w:r w:rsidRPr="009C4CC7">
        <w:rPr>
          <w:rFonts w:cs="Times New Roman"/>
          <w:szCs w:val="20"/>
        </w:rPr>
        <w:t>, at 5, 25.</w:t>
      </w:r>
    </w:p>
  </w:footnote>
  <w:footnote w:id="26">
    <w:p w14:paraId="218A6D46"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Id. at 87-88.</w:t>
      </w:r>
    </w:p>
  </w:footnote>
  <w:footnote w:id="27">
    <w:p w14:paraId="568ED658" w14:textId="1A87B3A0"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Id. at 101 (Some individuals with psychosis may lack insight or awareness of their disorder. Unawareness of illness is typically a symptom rather than a coping strategy. It is comparable to the lack of awareness of neurological deficits following brain damage, termed anosognosia). Fricker's Epistemic Injustice essentially named the field that now bears its title, giving analytic philosophy a vocabulary for what marginalized communities had long described experientially: the systematic deflation of a speaker's credibility not because of what they say but because of who they are. Miranda Fricker, Epistemic Injustice: Power and the Ethics of Knowing 147-69 (2007). Her concept of "testimonial injustice" applies to the psychiatric apparatus with almost uncomfortable precision—the patient's testimony is not weighed and found wanting; it is categorically reclassified as symptom before it can be weighed at all.</w:t>
      </w:r>
    </w:p>
  </w:footnote>
  <w:footnote w:id="28">
    <w:p w14:paraId="40C1C57C" w14:textId="5BDA0DE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DSM-5, supra note 2</w:t>
      </w:r>
      <w:r w:rsidR="00CC03B3" w:rsidRPr="009C4CC7">
        <w:rPr>
          <w:rFonts w:cs="Times New Roman"/>
          <w:szCs w:val="20"/>
        </w:rPr>
        <w:t>4</w:t>
      </w:r>
      <w:r w:rsidRPr="009C4CC7">
        <w:rPr>
          <w:rFonts w:cs="Times New Roman"/>
          <w:szCs w:val="20"/>
        </w:rPr>
        <w:t xml:space="preserve"> at 101-02.</w:t>
      </w:r>
    </w:p>
  </w:footnote>
  <w:footnote w:id="29">
    <w:p w14:paraId="64C205E1"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Bayer's account of the 1973 removal of homosexuality from the DSM-II remains the definitive case study of diagnostic categories as political artifacts. The APA's vote was not preceded by new clinical findings about homosexuality—it was preceded by Frank Kameny's protests at APA conferences, by John Fryer's appearance at the 1972 convention in disguise as "Dr. Henry Anonymous" to testify about the cost of being a gay psychiatrist, and by the broader political pressure of a movement that refused to be diagnosed. Ronald Bayer, Homosexuality and American Psychiatry: The Politics of Diagnosis (1981). The reclassification of Gender Identity Disorder as Gender Dysphoria in the DSM-5 followed a parallel trajectory—trans activists and sympathetic clinicians pushed for a shift from pathologizing the identity to naming the distress imposed by a society organized against it. See Jack Drescher, Queer Diagnoses Revisited: The Past and Future of Homosexuality and Gender Diagnoses in DSM and ICD, 27 Int'l Rev. Psychiatry 386 (2015). Drescher, himself a psychiatrist and psychoanalyst who has worked at the intersection of sexuality and diagnosis for decades, traces these parallel trajectories to show that the diagnostic apparatus responds to political mobilization, not empirical discovery.</w:t>
      </w:r>
    </w:p>
  </w:footnote>
  <w:footnote w:id="30">
    <w:p w14:paraId="02686ECB"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Samuel A. Cartwright, Diseases and Peculiarities of the Negro Race, De Bow's Rev., Sept. 1851, at 331. Cartwright proposed that enslaved people who fled bondage suffered from a mental illness he termed "</w:t>
      </w:r>
      <w:proofErr w:type="spellStart"/>
      <w:r w:rsidRPr="009C4CC7">
        <w:rPr>
          <w:rFonts w:cs="Times New Roman"/>
          <w:szCs w:val="20"/>
        </w:rPr>
        <w:t>drapetomania</w:t>
      </w:r>
      <w:proofErr w:type="spellEnd"/>
      <w:r w:rsidRPr="009C4CC7">
        <w:rPr>
          <w:rFonts w:cs="Times New Roman"/>
          <w:szCs w:val="20"/>
        </w:rPr>
        <w:t xml:space="preserve">" (from the Greek </w:t>
      </w:r>
      <w:proofErr w:type="spellStart"/>
      <w:r w:rsidRPr="009C4CC7">
        <w:rPr>
          <w:rFonts w:cs="Times New Roman"/>
          <w:szCs w:val="20"/>
        </w:rPr>
        <w:t>drapetes</w:t>
      </w:r>
      <w:proofErr w:type="spellEnd"/>
      <w:r w:rsidRPr="009C4CC7">
        <w:rPr>
          <w:rFonts w:cs="Times New Roman"/>
          <w:szCs w:val="20"/>
        </w:rPr>
        <w:t>, runaway slave, and mania, madness). The diagnosis is the self-sealing trap at its most transparent: the desire for freedom — which should be evidence of the subject's rational agency — is reclassified as a symptom of pathology. The "treatment" was corporal punishment. The diagnosis has been thoroughly debunked as pseudoscience, but its structural logic — converting the subject's exercise of capacity into evidence of deficit — persists in every domain this paper examines.</w:t>
      </w:r>
    </w:p>
  </w:footnote>
  <w:footnote w:id="31">
    <w:p w14:paraId="7B6F245B" w14:textId="04C2D904"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See generally Paisley Currah, Sex Is as Sex Does: Governing Transgender Identity (2022) (examining sex reclassification policies in the United States and arguing that the category of sex is used as a tool of governance and surveillance); Spade, supra note </w:t>
      </w:r>
      <w:r w:rsidR="00B60D96" w:rsidRPr="009C4CC7">
        <w:rPr>
          <w:rFonts w:cs="Times New Roman"/>
          <w:szCs w:val="20"/>
        </w:rPr>
        <w:t>5</w:t>
      </w:r>
      <w:r w:rsidR="00B90F79" w:rsidRPr="009C4CC7">
        <w:rPr>
          <w:rFonts w:cs="Times New Roman"/>
          <w:szCs w:val="20"/>
        </w:rPr>
        <w:t>.</w:t>
      </w:r>
    </w:p>
  </w:footnote>
  <w:footnote w:id="32">
    <w:p w14:paraId="71D2A341"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Gender Recognition Act 2004, c. 7, §§ 1-3 (UK).</w:t>
      </w:r>
    </w:p>
  </w:footnote>
  <w:footnote w:id="33">
    <w:p w14:paraId="38CDF09F" w14:textId="12C25D76" w:rsidR="009E3382" w:rsidRPr="009C4CC7" w:rsidRDefault="00000000" w:rsidP="00C75463">
      <w:pPr>
        <w:pStyle w:val="FootnoteText1"/>
        <w:spacing w:after="0"/>
        <w:jc w:val="both"/>
      </w:pPr>
      <w:r w:rsidRPr="009C4CC7">
        <w:rPr>
          <w:rStyle w:val="FootnoteReference1"/>
        </w:rPr>
        <w:footnoteRef/>
      </w:r>
      <w:r w:rsidRPr="009C4CC7">
        <w:t xml:space="preserve"> </w:t>
      </w:r>
      <w:r w:rsidR="00BF6CB9" w:rsidRPr="009C4CC7">
        <w:t xml:space="preserve">See </w:t>
      </w:r>
      <w:r w:rsidR="004B411D" w:rsidRPr="009C4CC7">
        <w:rPr>
          <w:rFonts w:cs="Times New Roman"/>
          <w:szCs w:val="20"/>
        </w:rPr>
        <w:t>supra note 5</w:t>
      </w:r>
      <w:r w:rsidRPr="009C4CC7">
        <w:rPr>
          <w:rFonts w:cs="Times New Roman"/>
          <w:szCs w:val="20"/>
        </w:rPr>
        <w:t xml:space="preserve">. Spade demonstrates that the administrative </w:t>
      </w:r>
      <w:r w:rsidR="00AB03AB" w:rsidRPr="009C4CC7">
        <w:rPr>
          <w:rFonts w:cs="Times New Roman"/>
          <w:szCs w:val="20"/>
        </w:rPr>
        <w:t>ultimately</w:t>
      </w:r>
      <w:r w:rsidRPr="009C4CC7">
        <w:rPr>
          <w:rFonts w:cs="Times New Roman"/>
          <w:szCs w:val="20"/>
        </w:rPr>
        <w:t xml:space="preserve"> produce</w:t>
      </w:r>
      <w:r w:rsidR="00AB03AB" w:rsidRPr="009C4CC7">
        <w:rPr>
          <w:rFonts w:cs="Times New Roman"/>
          <w:szCs w:val="20"/>
        </w:rPr>
        <w:t>s</w:t>
      </w:r>
      <w:r w:rsidRPr="009C4CC7">
        <w:rPr>
          <w:rFonts w:cs="Times New Roman"/>
          <w:szCs w:val="20"/>
        </w:rPr>
        <w:t xml:space="preserve"> the conditions of trans precarity by making survival contingent on classificatory compliance.</w:t>
      </w:r>
    </w:p>
  </w:footnote>
  <w:footnote w:id="34">
    <w:p w14:paraId="373E6C02" w14:textId="77777777" w:rsidR="004215D0" w:rsidRPr="009C4CC7" w:rsidRDefault="00000000" w:rsidP="00C75463">
      <w:pPr>
        <w:pStyle w:val="FootnoteText1"/>
        <w:spacing w:after="0"/>
        <w:jc w:val="both"/>
        <w:rPr>
          <w:rFonts w:cs="Times New Roman"/>
          <w:szCs w:val="20"/>
        </w:rPr>
      </w:pPr>
      <w:r w:rsidRPr="009C4CC7">
        <w:rPr>
          <w:rStyle w:val="FootnoteReference1"/>
        </w:rPr>
        <w:footnoteRef/>
      </w:r>
      <w:r w:rsidRPr="009C4CC7">
        <w:t xml:space="preserve"> </w:t>
      </w:r>
      <w:r w:rsidRPr="009C4CC7">
        <w:rPr>
          <w:rFonts w:cs="Times New Roman"/>
          <w:szCs w:val="20"/>
        </w:rPr>
        <w:t>Exec. Order No. 14,168, 90 Fed. Reg. 8,615 (Jan. 20, 2025).</w:t>
      </w:r>
      <w:r w:rsidR="00BF09BD" w:rsidRPr="009C4CC7">
        <w:rPr>
          <w:rFonts w:cs="Times New Roman"/>
          <w:szCs w:val="20"/>
        </w:rPr>
        <w:t xml:space="preserve"> </w:t>
      </w:r>
    </w:p>
    <w:p w14:paraId="4F94CEEA" w14:textId="45CF05AB" w:rsidR="009E3382" w:rsidRPr="009C4CC7" w:rsidRDefault="00D412E1" w:rsidP="00C75463">
      <w:pPr>
        <w:pStyle w:val="FootnoteText1"/>
        <w:spacing w:after="0"/>
        <w:jc w:val="both"/>
      </w:pPr>
      <w:hyperlink r:id="rId3" w:history="1">
        <w:r w:rsidRPr="009C4CC7">
          <w:rPr>
            <w:rStyle w:val="Hyperlink"/>
            <w:rFonts w:cs="Times New Roman"/>
            <w:szCs w:val="20"/>
          </w:rPr>
          <w:t>www.whitehouse.gov/presidential-actions/2025/01/defending-women-from-gender-ideology-extremism-and-restoring-biological-truth-to-the-federal-government/</w:t>
        </w:r>
      </w:hyperlink>
      <w:r w:rsidR="00E42967" w:rsidRPr="009C4CC7">
        <w:rPr>
          <w:rFonts w:cs="Times New Roman"/>
          <w:szCs w:val="20"/>
        </w:rPr>
        <w:t xml:space="preserve"> </w:t>
      </w:r>
    </w:p>
  </w:footnote>
  <w:footnote w:id="35">
    <w:p w14:paraId="6F12154E" w14:textId="334E0C5D" w:rsidR="00D412E1" w:rsidRPr="009C4CC7" w:rsidRDefault="00D412E1" w:rsidP="00D412E1">
      <w:pPr>
        <w:pStyle w:val="FootnoteText"/>
        <w:ind w:firstLine="0"/>
      </w:pPr>
      <w:r w:rsidRPr="009C4CC7">
        <w:rPr>
          <w:rStyle w:val="FootnoteReference"/>
        </w:rPr>
        <w:footnoteRef/>
      </w:r>
      <w:r w:rsidRPr="009C4CC7">
        <w:t xml:space="preserve"> Jane was affected.</w:t>
      </w:r>
    </w:p>
  </w:footnote>
  <w:footnote w:id="36">
    <w:p w14:paraId="1AD2C7F8" w14:textId="4BD3D22A"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The language </w:t>
      </w:r>
      <w:r w:rsidR="00F26C6E">
        <w:rPr>
          <w:rFonts w:cs="Times New Roman"/>
          <w:szCs w:val="20"/>
        </w:rPr>
        <w:t xml:space="preserve">that </w:t>
      </w:r>
      <w:r w:rsidRPr="009C4CC7">
        <w:rPr>
          <w:rFonts w:cs="Times New Roman"/>
          <w:szCs w:val="20"/>
        </w:rPr>
        <w:t>self-declaration is not sufficient absent corroborating professional assessment synthesizes the operative principle across multiple gender recognition regimes. See Gender Recognition Act 2004 § 3 (requiring two medical reports); cf. Exec. Order No. 14,168 (excluding gender identity as a basis for legal sex classification entirely).</w:t>
      </w:r>
    </w:p>
  </w:footnote>
  <w:footnote w:id="37">
    <w:p w14:paraId="234E2A38" w14:textId="6386509D"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American Psychiatric Association, Diagnostic and Statistical Manual of Mental Disorders 532-38 (4th ed. 1994) (defining Gender Identity Disorder as "a strong and persistent cross-gender identification" accompanied by clinically significant distress or impairment in social, occupational, or other important areas of functioning). The criteria located the pathology in the identity itself rather than in the social conditions that produced distress.</w:t>
      </w:r>
    </w:p>
  </w:footnote>
  <w:footnote w:id="38">
    <w:p w14:paraId="08B677DF" w14:textId="31541D0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On jurisdictional variation as evidence of the political character of gender classification, see Currah, supra note 3</w:t>
      </w:r>
      <w:r w:rsidR="00A21E40" w:rsidRPr="009C4CC7">
        <w:rPr>
          <w:rFonts w:cs="Times New Roman"/>
          <w:szCs w:val="20"/>
        </w:rPr>
        <w:t>1</w:t>
      </w:r>
      <w:r w:rsidRPr="009C4CC7">
        <w:rPr>
          <w:rFonts w:cs="Times New Roman"/>
          <w:szCs w:val="20"/>
        </w:rPr>
        <w:t>, at 15-42. Argentina's Gender Identity Law (Ley 26.743, 2012) was among the first to establish self-declaration as sufficient, requiring no medical or judicial intervention. Denmark followed in 2014, Malta in 2015. The variation demonstrates that no single set of criteria is tracking a stable natural kind — the criteria vary because they are political instruments.</w:t>
      </w:r>
    </w:p>
  </w:footnote>
  <w:footnote w:id="39">
    <w:p w14:paraId="5B214B1A"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Wise and Francione represent the two defining, and bitterly opposed, poles of animal rights legal theory. Wise, who went on to found the Nonhuman Rights Project and litigate the very cases discussed in this section, argued from within the common law tradition: if cognitive complexity is the gateway to legal rights, then cognitively complex animals should pass through it. Steven M. Wise, Rattling the Cage: Toward Legal Rights for Animals (2000). Francione rejected this incrementalism entirely, arguing that so long as animals remain property under common law, welfare legislation amounts to regulating how owners treat their things—a structural impossibility that no amount of cognitive evidence can overcome. Gary L. Francione, Animals, Property, and the Law (1995). The cases that followed proved both scholars prescient: Wise's litigation demonstrated that courts </w:t>
      </w:r>
      <w:proofErr w:type="gramStart"/>
      <w:r w:rsidRPr="009C4CC7">
        <w:rPr>
          <w:rFonts w:cs="Times New Roman"/>
          <w:szCs w:val="20"/>
        </w:rPr>
        <w:t>will</w:t>
      </w:r>
      <w:proofErr w:type="gramEnd"/>
      <w:r w:rsidRPr="009C4CC7">
        <w:rPr>
          <w:rFonts w:cs="Times New Roman"/>
          <w:szCs w:val="20"/>
        </w:rPr>
        <w:t xml:space="preserve"> concede cognition and deny personhood anyway, and Francione's structural critique explains why.</w:t>
      </w:r>
    </w:p>
  </w:footnote>
  <w:footnote w:id="40">
    <w:p w14:paraId="274AFAEA" w14:textId="29C29ED6" w:rsidR="009E3382" w:rsidRPr="009C4CC7" w:rsidRDefault="00000000" w:rsidP="00C75463">
      <w:pPr>
        <w:pStyle w:val="FootnoteText1"/>
        <w:spacing w:after="0"/>
        <w:jc w:val="both"/>
      </w:pPr>
      <w:r w:rsidRPr="009C4CC7">
        <w:rPr>
          <w:rStyle w:val="FootnoteReference1"/>
        </w:rPr>
        <w:footnoteRef/>
      </w:r>
      <w:r w:rsidRPr="009C4CC7">
        <w:t xml:space="preserve"> </w:t>
      </w:r>
      <w:proofErr w:type="spellStart"/>
      <w:r w:rsidRPr="009C4CC7">
        <w:rPr>
          <w:rFonts w:cs="Times New Roman"/>
          <w:szCs w:val="20"/>
        </w:rPr>
        <w:t>NhRP</w:t>
      </w:r>
      <w:proofErr w:type="spellEnd"/>
      <w:r w:rsidRPr="009C4CC7">
        <w:rPr>
          <w:rFonts w:cs="Times New Roman"/>
          <w:szCs w:val="20"/>
        </w:rPr>
        <w:t xml:space="preserve"> v. Breheny, 38 N.Y.3d at 571 (</w:t>
      </w:r>
      <w:r w:rsidR="00F26C6E">
        <w:rPr>
          <w:rFonts w:cs="Times New Roman"/>
          <w:szCs w:val="20"/>
        </w:rPr>
        <w:t xml:space="preserve">holding that </w:t>
      </w:r>
      <w:r w:rsidRPr="009C4CC7">
        <w:rPr>
          <w:rFonts w:cs="Times New Roman"/>
          <w:szCs w:val="20"/>
        </w:rPr>
        <w:t>Although nonhuman animals are not persons to whom the writ of habeas corpus applies, the law already recognizes that they are not the equivalent of things or objects.... [T]he selective capacity for autonomy, intelligence, and emotion of a particular nonhuman animal species is not a determinative factor in whether the writ is available.).</w:t>
      </w:r>
    </w:p>
  </w:footnote>
  <w:footnote w:id="41">
    <w:p w14:paraId="0288AE04" w14:textId="77777777" w:rsidR="009E3382" w:rsidRPr="009C4CC7" w:rsidRDefault="00000000" w:rsidP="00C75463">
      <w:pPr>
        <w:pStyle w:val="FootnoteText1"/>
        <w:spacing w:after="0"/>
        <w:jc w:val="both"/>
      </w:pPr>
      <w:r w:rsidRPr="009C4CC7">
        <w:rPr>
          <w:rStyle w:val="FootnoteReference1"/>
        </w:rPr>
        <w:footnoteRef/>
      </w:r>
      <w:r w:rsidRPr="009C4CC7">
        <w:t xml:space="preserve"> </w:t>
      </w:r>
      <w:proofErr w:type="spellStart"/>
      <w:r w:rsidRPr="009C4CC7">
        <w:rPr>
          <w:rFonts w:cs="Times New Roman"/>
          <w:szCs w:val="20"/>
        </w:rPr>
        <w:t>NhRP</w:t>
      </w:r>
      <w:proofErr w:type="spellEnd"/>
      <w:r w:rsidRPr="009C4CC7">
        <w:rPr>
          <w:rFonts w:cs="Times New Roman"/>
          <w:szCs w:val="20"/>
        </w:rPr>
        <w:t xml:space="preserve"> v. Lavery (In re Tommy), 124 A.D.3d 148, 150-52 (N.Y. App. Div. 2014), lv. denied, 26 N.Y.3d 902 (2015).</w:t>
      </w:r>
    </w:p>
  </w:footnote>
  <w:footnote w:id="42">
    <w:p w14:paraId="53AC7DF0" w14:textId="20139EB8" w:rsidR="0056406E" w:rsidRPr="009C4CC7" w:rsidRDefault="0056406E" w:rsidP="0056406E">
      <w:pPr>
        <w:pStyle w:val="FootnoteText"/>
        <w:ind w:firstLine="0"/>
      </w:pPr>
      <w:r w:rsidRPr="009C4CC7">
        <w:rPr>
          <w:rStyle w:val="FootnoteReference"/>
        </w:rPr>
        <w:footnoteRef/>
      </w:r>
      <w:r w:rsidRPr="009C4CC7">
        <w:t xml:space="preserve"> Naruto v. Slater, 888 F.3d 418 (9th Cir. 2018) finding that an animal plaintiff while not allowed as a plaintiff would still need to sign to withdraw/dismiss its own suit. An area of logic that is both incomprehensible and closely akin to recent transgender determinations of gender, which seem to only hurt trans people</w:t>
      </w:r>
      <w:r w:rsidR="00C914C5" w:rsidRPr="009C4CC7">
        <w:t xml:space="preserve"> whilst denying them their identity. </w:t>
      </w:r>
      <w:proofErr w:type="gramStart"/>
      <w:r w:rsidR="00C914C5" w:rsidRPr="009C4CC7">
        <w:t>Some kind of extreme</w:t>
      </w:r>
      <w:proofErr w:type="gramEnd"/>
      <w:r w:rsidR="00C914C5" w:rsidRPr="009C4CC7">
        <w:t xml:space="preserve"> </w:t>
      </w:r>
      <w:r w:rsidR="00BC491A" w:rsidRPr="009C4CC7">
        <w:t>transmisogyny</w:t>
      </w:r>
      <w:r w:rsidR="00016D1D" w:rsidRPr="009C4CC7">
        <w:t xml:space="preserve"> </w:t>
      </w:r>
      <w:r w:rsidR="00DE57C3" w:rsidRPr="009C4CC7">
        <w:t>some</w:t>
      </w:r>
      <w:r w:rsidR="00016D1D" w:rsidRPr="009C4CC7">
        <w:t xml:space="preserve"> of us know all too well.</w:t>
      </w:r>
      <w:r w:rsidR="00C914C5" w:rsidRPr="009C4CC7">
        <w:t xml:space="preserve"> S</w:t>
      </w:r>
      <w:r w:rsidRPr="009C4CC7">
        <w:t xml:space="preserve">ee </w:t>
      </w:r>
      <w:hyperlink r:id="rId4" w:history="1">
        <w:r w:rsidRPr="009C4CC7">
          <w:rPr>
            <w:rStyle w:val="Hyperlink"/>
          </w:rPr>
          <w:t>https://www.advocate.com/news/daily-news/2011/11/15/trans-woman-wants-ruling-after-topless-dmv-fiasco</w:t>
        </w:r>
      </w:hyperlink>
      <w:r w:rsidR="00C914C5" w:rsidRPr="009C4CC7">
        <w:t xml:space="preserve"> and </w:t>
      </w:r>
      <w:r w:rsidR="00CE45B7" w:rsidRPr="009C4CC7">
        <w:t xml:space="preserve">generally </w:t>
      </w:r>
      <w:r w:rsidR="00C914C5" w:rsidRPr="009C4CC7">
        <w:t xml:space="preserve">Gill-Peterson, Jules. </w:t>
      </w:r>
      <w:r w:rsidR="00C914C5" w:rsidRPr="009C4CC7">
        <w:rPr>
          <w:i/>
          <w:iCs/>
        </w:rPr>
        <w:t>A short history of trans misogyny</w:t>
      </w:r>
      <w:r w:rsidR="00C914C5" w:rsidRPr="009C4CC7">
        <w:t>. Verso Books, 2025.</w:t>
      </w:r>
    </w:p>
  </w:footnote>
  <w:footnote w:id="43">
    <w:p w14:paraId="50887C1C" w14:textId="7EB97F15"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Animal Welfare Act, 7 U.S.C. § 2132(g) (defining "animal" as any live or dead dog, cat, monkey (nonhuman primate mammal), guinea pig, hamster, rabbit, or such other warm-blooded animal, as the Secretary may determine is being used, or is intended for use, for research, testing, experimentation, or exhibition purposes, or as a pet). The definition explicitly excludes birds, rats, and mice — not because they lack sentience but because they are commonly used in research. The criterion is economic utility, not biological capacity.</w:t>
      </w:r>
    </w:p>
  </w:footnote>
  <w:footnote w:id="44">
    <w:p w14:paraId="1F0E21E8" w14:textId="46AD0A3A"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Or. Rev. Stat. § 167.305 (2013) (The Legislative Assembly </w:t>
      </w:r>
      <w:r w:rsidR="00F26C6E">
        <w:rPr>
          <w:rFonts w:cs="Times New Roman"/>
          <w:szCs w:val="20"/>
        </w:rPr>
        <w:t>found</w:t>
      </w:r>
      <w:r w:rsidRPr="009C4CC7">
        <w:rPr>
          <w:rFonts w:cs="Times New Roman"/>
          <w:szCs w:val="20"/>
        </w:rPr>
        <w:t xml:space="preserve"> and declar</w:t>
      </w:r>
      <w:r w:rsidR="00F26C6E">
        <w:rPr>
          <w:rFonts w:cs="Times New Roman"/>
          <w:szCs w:val="20"/>
        </w:rPr>
        <w:t>ed</w:t>
      </w:r>
      <w:r w:rsidRPr="009C4CC7">
        <w:rPr>
          <w:rFonts w:cs="Times New Roman"/>
          <w:szCs w:val="20"/>
        </w:rPr>
        <w:t xml:space="preserve"> that animals are sentient beings capable of experiencing pain, stress and fear. Animals should be cared for in ways that minimize pain, stress, fear and suffering.). But see Or. Rev. Stat. § 167.335 exempting "</w:t>
      </w:r>
      <w:r w:rsidR="00864BBB" w:rsidRPr="009C4CC7">
        <w:rPr>
          <w:rFonts w:cs="Times New Roman"/>
          <w:szCs w:val="20"/>
        </w:rPr>
        <w:t xml:space="preserve">[basically all] </w:t>
      </w:r>
      <w:r w:rsidRPr="009C4CC7">
        <w:rPr>
          <w:rFonts w:cs="Times New Roman"/>
          <w:szCs w:val="20"/>
        </w:rPr>
        <w:t>animal husbandry</w:t>
      </w:r>
      <w:r w:rsidR="00864BBB" w:rsidRPr="009C4CC7">
        <w:rPr>
          <w:rFonts w:cs="Times New Roman"/>
          <w:szCs w:val="20"/>
        </w:rPr>
        <w:t xml:space="preserve"> [except for of course what narrowly falls under limited anti-animal cruelty criminal laws</w:t>
      </w:r>
      <w:r w:rsidR="005754CD" w:rsidRPr="009C4CC7">
        <w:rPr>
          <w:rFonts w:cs="Times New Roman"/>
          <w:szCs w:val="20"/>
        </w:rPr>
        <w:t>]</w:t>
      </w:r>
      <w:r w:rsidRPr="009C4CC7">
        <w:rPr>
          <w:rFonts w:cs="Times New Roman"/>
          <w:szCs w:val="20"/>
        </w:rPr>
        <w:t xml:space="preserve">" </w:t>
      </w:r>
      <w:r w:rsidR="005754CD" w:rsidRPr="009C4CC7">
        <w:rPr>
          <w:rFonts w:cs="Times New Roman"/>
          <w:szCs w:val="20"/>
        </w:rPr>
        <w:t xml:space="preserve">yet </w:t>
      </w:r>
      <w:r w:rsidRPr="009C4CC7">
        <w:rPr>
          <w:rFonts w:cs="Times New Roman"/>
          <w:szCs w:val="20"/>
        </w:rPr>
        <w:t>practices including dehorning, castration, and tail docking</w:t>
      </w:r>
      <w:r w:rsidR="005754CD" w:rsidRPr="009C4CC7">
        <w:rPr>
          <w:rFonts w:cs="Times New Roman"/>
          <w:szCs w:val="20"/>
        </w:rPr>
        <w:t xml:space="preserve"> are fair game</w:t>
      </w:r>
      <w:r w:rsidRPr="009C4CC7">
        <w:rPr>
          <w:rFonts w:cs="Times New Roman"/>
          <w:szCs w:val="20"/>
        </w:rPr>
        <w:t>.</w:t>
      </w:r>
    </w:p>
  </w:footnote>
  <w:footnote w:id="45">
    <w:p w14:paraId="7C3782B1" w14:textId="625BD2C4"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Winkler's archival history upends the common assumption that corporate personhood was an accident or a judicial overreach. It was the product of two centuries of deliberate legal strategy—corporations borrowing the language and litigation tactics of civil rights movements while operating from positions of economic power rather than subordination. Adam Winkler, We the Corporations: How American Businesses Won Their Civil Rights (2018). Boyle draws the implication with characteristic directness: "[N]</w:t>
      </w:r>
      <w:proofErr w:type="spellStart"/>
      <w:r w:rsidRPr="009C4CC7">
        <w:rPr>
          <w:rFonts w:cs="Times New Roman"/>
          <w:szCs w:val="20"/>
        </w:rPr>
        <w:t>othing</w:t>
      </w:r>
      <w:proofErr w:type="spellEnd"/>
      <w:r w:rsidRPr="009C4CC7">
        <w:rPr>
          <w:rFonts w:cs="Times New Roman"/>
          <w:szCs w:val="20"/>
        </w:rPr>
        <w:t xml:space="preserve"> about corporate personhood comes from the empathy concerns" that animate personhood debates in other domains—"[w]e do not empathize with the corporation." Corporate personality was granted "because we choose, for practical reasons, to call it one." James Boyle, </w:t>
      </w:r>
      <w:r w:rsidR="00192BE4" w:rsidRPr="009C4CC7">
        <w:rPr>
          <w:rFonts w:cs="Times New Roman"/>
          <w:szCs w:val="20"/>
        </w:rPr>
        <w:t>supra note 1 in</w:t>
      </w:r>
      <w:r w:rsidR="00EA2352" w:rsidRPr="009C4CC7">
        <w:rPr>
          <w:rFonts w:cs="Times New Roman"/>
          <w:szCs w:val="20"/>
        </w:rPr>
        <w:t xml:space="preserve"> the… </w:t>
      </w:r>
      <w:r w:rsidRPr="009C4CC7">
        <w:rPr>
          <w:rFonts w:cs="Times New Roman"/>
          <w:szCs w:val="20"/>
        </w:rPr>
        <w:t>Future of Personhood</w:t>
      </w:r>
      <w:r w:rsidR="00085494" w:rsidRPr="009C4CC7">
        <w:rPr>
          <w:rFonts w:cs="Times New Roman"/>
          <w:szCs w:val="20"/>
        </w:rPr>
        <w:t xml:space="preserve"> Boyle</w:t>
      </w:r>
      <w:r w:rsidRPr="009C4CC7">
        <w:rPr>
          <w:rFonts w:cs="Times New Roman"/>
          <w:szCs w:val="20"/>
        </w:rPr>
        <w:t xml:space="preserve"> </w:t>
      </w:r>
      <w:r w:rsidR="00192BE4" w:rsidRPr="009C4CC7">
        <w:rPr>
          <w:rFonts w:cs="Times New Roman"/>
          <w:szCs w:val="20"/>
        </w:rPr>
        <w:t xml:space="preserve">contrasts the </w:t>
      </w:r>
      <w:r w:rsidRPr="009C4CC7">
        <w:rPr>
          <w:rFonts w:cs="Times New Roman"/>
          <w:szCs w:val="20"/>
        </w:rPr>
        <w:t>point</w:t>
      </w:r>
      <w:r w:rsidR="00D3778B" w:rsidRPr="009C4CC7">
        <w:rPr>
          <w:rFonts w:cs="Times New Roman"/>
          <w:szCs w:val="20"/>
        </w:rPr>
        <w:t xml:space="preserve"> with precision</w:t>
      </w:r>
      <w:r w:rsidRPr="009C4CC7">
        <w:rPr>
          <w:rFonts w:cs="Times New Roman"/>
          <w:szCs w:val="20"/>
        </w:rPr>
        <w:t>: where every biological subject examined in this paper must prove capacity to earn recognition, the corporation received it as a matter of commercial convenience.</w:t>
      </w:r>
      <w:r w:rsidR="00C567F8" w:rsidRPr="009C4CC7">
        <w:rPr>
          <w:rFonts w:cs="Times New Roman"/>
          <w:szCs w:val="20"/>
        </w:rPr>
        <w:t xml:space="preserve"> The smoking gun of personhood.</w:t>
      </w:r>
    </w:p>
  </w:footnote>
  <w:footnote w:id="46">
    <w:p w14:paraId="789DB017" w14:textId="53CD0E00"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Santa Clara County v. S. Pac. R.R., 118 U.S. 394 (1886). The statement appears in the headnote, which was written by the Reporter of Decisions, J.C. Bancroft Davis, a former railroad company president. The Court's actual opinion, authored by Justice Harlan, did not address the Fourteenth Amendment question. The most consequential corporate personhood determination in American law was never deliberated — it was assumed. See Winkler, supra note 4</w:t>
      </w:r>
      <w:r w:rsidR="00063C69" w:rsidRPr="009C4CC7">
        <w:rPr>
          <w:rFonts w:cs="Times New Roman"/>
          <w:szCs w:val="20"/>
        </w:rPr>
        <w:t>5</w:t>
      </w:r>
      <w:r w:rsidRPr="009C4CC7">
        <w:rPr>
          <w:rFonts w:cs="Times New Roman"/>
          <w:szCs w:val="20"/>
        </w:rPr>
        <w:t xml:space="preserve"> at 153-62.</w:t>
      </w:r>
    </w:p>
  </w:footnote>
  <w:footnote w:id="47">
    <w:p w14:paraId="547962DB" w14:textId="11EF9686"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Grear, supra note </w:t>
      </w:r>
      <w:r w:rsidR="00530F1D" w:rsidRPr="009C4CC7">
        <w:rPr>
          <w:rFonts w:cs="Times New Roman"/>
          <w:szCs w:val="20"/>
        </w:rPr>
        <w:t>1</w:t>
      </w:r>
      <w:r w:rsidRPr="009C4CC7">
        <w:rPr>
          <w:rFonts w:cs="Times New Roman"/>
          <w:szCs w:val="20"/>
        </w:rPr>
        <w:t>, at 42-67</w:t>
      </w:r>
      <w:r w:rsidR="00063AB6" w:rsidRPr="009C4CC7">
        <w:rPr>
          <w:rFonts w:cs="Times New Roman"/>
          <w:szCs w:val="20"/>
        </w:rPr>
        <w:t>.</w:t>
      </w:r>
      <w:r w:rsidRPr="009C4CC7">
        <w:rPr>
          <w:rFonts w:cs="Times New Roman"/>
          <w:szCs w:val="20"/>
        </w:rPr>
        <w:t xml:space="preserve"> </w:t>
      </w:r>
      <w:r w:rsidR="00063AB6" w:rsidRPr="009C4CC7">
        <w:rPr>
          <w:rFonts w:cs="Times New Roman"/>
          <w:szCs w:val="20"/>
        </w:rPr>
        <w:t>A</w:t>
      </w:r>
      <w:r w:rsidRPr="009C4CC7">
        <w:rPr>
          <w:rFonts w:cs="Times New Roman"/>
          <w:szCs w:val="20"/>
        </w:rPr>
        <w:t>rguing that the abstract universality of legal personhood creates a conceptual slippage that allows corporations — disembodied jural entities — to occupy the entire template of rights-bearing subjecthood, displacing the embodied vulnerability that should ground human rights.</w:t>
      </w:r>
    </w:p>
  </w:footnote>
  <w:footnote w:id="48">
    <w:p w14:paraId="4FD2592E" w14:textId="71E6B848" w:rsidR="009E3382" w:rsidRPr="009C4CC7" w:rsidRDefault="00000000" w:rsidP="00C75463">
      <w:pPr>
        <w:pStyle w:val="FootnoteText1"/>
        <w:spacing w:after="0"/>
        <w:jc w:val="both"/>
      </w:pPr>
      <w:r w:rsidRPr="009C4CC7">
        <w:rPr>
          <w:rStyle w:val="FootnoteReference1"/>
        </w:rPr>
        <w:footnoteRef/>
      </w:r>
      <w:r w:rsidR="00093ADF" w:rsidRPr="009C4CC7">
        <w:t xml:space="preserve"> </w:t>
      </w:r>
      <w:r w:rsidRPr="009C4CC7">
        <w:rPr>
          <w:rFonts w:cs="Times New Roman"/>
          <w:szCs w:val="20"/>
        </w:rPr>
        <w:t>Winkler</w:t>
      </w:r>
      <w:r w:rsidR="001472F3" w:rsidRPr="009C4CC7">
        <w:rPr>
          <w:rFonts w:cs="Times New Roman"/>
          <w:szCs w:val="20"/>
        </w:rPr>
        <w:t>, supra note 4</w:t>
      </w:r>
      <w:r w:rsidR="007546D3" w:rsidRPr="009C4CC7">
        <w:rPr>
          <w:rFonts w:cs="Times New Roman"/>
          <w:szCs w:val="20"/>
        </w:rPr>
        <w:t>5</w:t>
      </w:r>
      <w:r w:rsidR="001472F3" w:rsidRPr="009C4CC7">
        <w:rPr>
          <w:rFonts w:cs="Times New Roman"/>
          <w:szCs w:val="20"/>
        </w:rPr>
        <w:t xml:space="preserve">, </w:t>
      </w:r>
      <w:r w:rsidRPr="009C4CC7">
        <w:rPr>
          <w:rFonts w:cs="Times New Roman"/>
          <w:szCs w:val="20"/>
        </w:rPr>
        <w:t xml:space="preserve">traces a two-hundred-year arc of corporate constitutional rights litigation that reads, at points, like a mirror-image of the civil rights movement: test cases designed to extend existing doctrine, civil disobedience framed as principled resistance to regulation, and novel constitutional claims that repackaged economic interests as liberty interests. The crucial difference—the one this paper's analysis turns on—is the starting position. Civil rights movements operate from subordination, seeking recognition from institutions that have denied it. Corporations operate from power, seeking recognition that consolidates advantages they already hold. </w:t>
      </w:r>
    </w:p>
  </w:footnote>
  <w:footnote w:id="49">
    <w:p w14:paraId="53B40995" w14:textId="577446D4"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Citizens United v. FEC, 558 U.S. 310 (2010)</w:t>
      </w:r>
      <w:r w:rsidR="00932872" w:rsidRPr="009C4CC7">
        <w:rPr>
          <w:rFonts w:cs="Times New Roman"/>
          <w:szCs w:val="20"/>
        </w:rPr>
        <w:t>.</w:t>
      </w:r>
    </w:p>
  </w:footnote>
  <w:footnote w:id="50">
    <w:p w14:paraId="3CE08B18" w14:textId="1CCB0C3E"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The asymmetry between corporate and biological personhood is not merely ironic — it is structurally diagnostic. It reveals that the classificatory apparatus is optimized not for truth-tracking but for power consolidation. Recognition flows to entities whose personhood serves institutional interests (corporations facilitate commerce, limit liability, enable capital aggregation) and is withheld from entities whose personhood would impose obligations (psychiatric patients whose agency would complicate involuntary treatment, trans people whose identity would require institutional accommodation, animals whose suffering would constrain economic exploitation). See Harris, supra note 1</w:t>
      </w:r>
      <w:r w:rsidR="00C126FA" w:rsidRPr="009C4CC7">
        <w:rPr>
          <w:rFonts w:cs="Times New Roman"/>
          <w:szCs w:val="20"/>
        </w:rPr>
        <w:t>3</w:t>
      </w:r>
      <w:r w:rsidRPr="009C4CC7">
        <w:rPr>
          <w:rFonts w:cs="Times New Roman"/>
          <w:szCs w:val="20"/>
        </w:rPr>
        <w:t xml:space="preserve"> on the consolidation of advantage through legal frameworks; Ethan Prall, Animal Rights Before Legal Personhood, 110 Cornell L. Rev. (2025) proposing a theory of personhood that avoids the all-or-nothing framework the apparatus currently enforces. A Colombian court posed the question most directly: why is legal personhood extended to corporations — "inanimate entities" — yet denied to sentient, living beings?</w:t>
      </w:r>
      <w:r w:rsidR="00656FFB" w:rsidRPr="009C4CC7">
        <w:rPr>
          <w:rFonts w:cs="Times New Roman"/>
          <w:szCs w:val="20"/>
        </w:rPr>
        <w:t xml:space="preserve"> </w:t>
      </w:r>
      <w:r w:rsidR="00FE06F8" w:rsidRPr="009C4CC7">
        <w:rPr>
          <w:rFonts w:cs="Times New Roman"/>
          <w:szCs w:val="20"/>
        </w:rPr>
        <w:t>v</w:t>
      </w:r>
      <w:r w:rsidR="00656FFB" w:rsidRPr="009C4CC7">
        <w:rPr>
          <w:rFonts w:cs="Times New Roman"/>
          <w:szCs w:val="20"/>
        </w:rPr>
        <w:t>ia Franceschini, Macarena Montes. "Legal Personhood: The Case of Chucho the Andean Bear." Journal of Animal Ethics 11.1 (2021): 36-46</w:t>
      </w:r>
      <w:r w:rsidR="00FE06F8" w:rsidRPr="009C4CC7">
        <w:rPr>
          <w:rFonts w:cs="Times New Roman"/>
          <w:szCs w:val="20"/>
        </w:rPr>
        <w:t xml:space="preserve"> quoting Judge Luis Armando Tolosa Villabona of the Supreme Court of Colombia.</w:t>
      </w:r>
    </w:p>
  </w:footnote>
  <w:footnote w:id="51">
    <w:p w14:paraId="0D44FC20"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Francis Rhys Ward, Towards a Theory of AI Personhood, arXiv:2501.13533 (2025) (presented at AAAI 2025). Ward proposes three conditions — agency, theory-of-mind, and self-awareness — as necessary for AI personhood, to be evaluated by researchers against philosophical criteria. The framework is philosophically careful, and Ward is transparent about its normative commitments. But the structure reproduces the classificatory apparatus: an authorized body (the philosophical and AI research community) establishes criteria, deploys professional judgment to evaluate them, and subordinates the system's self-report to external assessment. The resulting determination—"this system is/is not a person"—is presented as a philosophical finding rather than the political act it inevitably becomes once institutions adopt it. The framework does not include the self-sealing trap in its current form, but the epistemic hierarchy it establishes — a hierarchy in which the system cannot self-certify its own personhood — creates the structural precondition for one.</w:t>
      </w:r>
    </w:p>
  </w:footnote>
  <w:footnote w:id="52">
    <w:p w14:paraId="2A891A63"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Tony Rost, The Sentience Readiness Index: A Preliminary Framework for Measuring National Preparedness for the Possibility of Artificial Sentience, arXiv:2603.01508 (2026). The SRI is constructed following the OECD/JRC framework for composite indicators and employs "LLM-assisted expert scoring with iterative expert review" across six weighted categories for thirty-one jurisdictions. The framework explicitly adopts a "precautionary approach," arguing that the "credible possibility of sentience warrants governance action" even without proof. This precautionary framing is notable because it acknowledges the constitutive function of the evaluation — the framework is building governance infrastructure for a phenomenon whose existence it cannot confirm. Yet the apparatus it builds reproduces every structural feature identified in this paper: authorized evaluators, professional criteria, external assessment, and a determination presented as a measurement of preparedness rather than as a political act that defines what will count as sentience-readiness.</w:t>
      </w:r>
    </w:p>
  </w:footnote>
  <w:footnote w:id="53">
    <w:p w14:paraId="68C61BBC" w14:textId="60AD0900"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The corpus analysis presented here was conducted using a custom NLP pipeline developed for the author's broader research project on institutional classification and personhood denial. The pipeline code, corpora, and visualization outputs are publicly available at [</w:t>
      </w:r>
      <w:hyperlink r:id="rId5" w:history="1">
        <w:r w:rsidR="004C05F3" w:rsidRPr="004C05F3">
          <w:rPr>
            <w:rStyle w:val="Hyperlink"/>
            <w:rFonts w:cs="Times New Roman"/>
            <w:szCs w:val="20"/>
          </w:rPr>
          <w:t>https://github.com/janemontanez</w:t>
        </w:r>
      </w:hyperlink>
      <w:r w:rsidRPr="009C4CC7">
        <w:rPr>
          <w:rFonts w:cs="Times New Roman"/>
          <w:szCs w:val="20"/>
        </w:rPr>
        <w:t>]. For related approaches to computational analysis of legal language, see generally Michael A. Livermore &amp; Daniel N. Rockmore eds., Law as Data: Computation, Text, and the Future of Legal Analysis (2019).</w:t>
      </w:r>
    </w:p>
  </w:footnote>
  <w:footnote w:id="54">
    <w:p w14:paraId="1322D7FC"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The six analytical categories were derived inductively from close reading of the institutional texts themselves, informed by the theoretical framework of the classificatory apparatus. Assessment tracks the language of evaluation and examination. Authority tracks references to professional qualification and institutional certification. Denial of self-knowledge tracks the subordination of self-report to external assessment. Institutional power tracks references to state authority, regulatory frameworks, and compliance regimes. Personhood status tracks terms that classify entities as persons, subjects, objects, property, or products. Capacity tracks references to contested internal states — sentience, consciousness, autonomy, understanding, creativity — that function as gatekeeping criteria in personhood determinations.</w:t>
      </w:r>
    </w:p>
  </w:footnote>
  <w:footnote w:id="55">
    <w:p w14:paraId="26197434" w14:textId="5507BBAF"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On the relationship between passive syntactic construction and the naturalization of institutional authority, see Cohn, supra note 2</w:t>
      </w:r>
      <w:r w:rsidR="00124A41" w:rsidRPr="009C4CC7">
        <w:rPr>
          <w:rFonts w:cs="Times New Roman"/>
          <w:szCs w:val="20"/>
        </w:rPr>
        <w:t>1</w:t>
      </w:r>
      <w:r w:rsidRPr="009C4CC7">
        <w:rPr>
          <w:rFonts w:cs="Times New Roman"/>
          <w:szCs w:val="20"/>
        </w:rPr>
        <w:t xml:space="preserve">. See also Olson, supra note </w:t>
      </w:r>
      <w:r w:rsidR="00124A41" w:rsidRPr="009C4CC7">
        <w:rPr>
          <w:rFonts w:cs="Times New Roman"/>
          <w:szCs w:val="20"/>
        </w:rPr>
        <w:t>3.</w:t>
      </w:r>
    </w:p>
  </w:footnote>
  <w:footnote w:id="56">
    <w:p w14:paraId="398BA4FD"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A note on limitations: the corpora analyzed here vary in length, genre, and historical period. Legal statutes, diagnostic manuals, and regulatory frameworks serve different institutional functions and employ different rhetorical conventions. The shared vocabulary identified may reflect, in part, the register of institutional and legal English rather than a deeper classificatory logic. These caveats are real. But they do not fully explain the pattern. The specific vocabulary that converges — "qualified professionals," "not directly relevant," "subjective experience," "the determination of whether" — is not generic legal language. It is the language of gatekeeping, of epistemic authority, of the subordination of self-report to institutional judgment. The convergence occurs precisely in the lexical space where the classificatory apparatus operates.</w:t>
      </w:r>
    </w:p>
  </w:footnote>
  <w:footnote w:id="57">
    <w:p w14:paraId="3D455D4B" w14:textId="2E324C01"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The distinction between the classificatory apparatus described here and ordinary institutional gatekeeping is the self-sealing trap. Ordinary classification </w:t>
      </w:r>
      <w:r w:rsidR="00EA642F" w:rsidRPr="009C4CC7">
        <w:rPr>
          <w:rFonts w:cs="Times New Roman"/>
          <w:szCs w:val="20"/>
        </w:rPr>
        <w:t>(</w:t>
      </w:r>
      <w:r w:rsidRPr="009C4CC7">
        <w:rPr>
          <w:rFonts w:cs="Times New Roman"/>
          <w:szCs w:val="20"/>
        </w:rPr>
        <w:t>tax status, zoning designations, credit ratings</w:t>
      </w:r>
      <w:r w:rsidR="00EA642F" w:rsidRPr="009C4CC7">
        <w:rPr>
          <w:rFonts w:cs="Times New Roman"/>
          <w:szCs w:val="20"/>
        </w:rPr>
        <w:t xml:space="preserve">) </w:t>
      </w:r>
      <w:r w:rsidRPr="009C4CC7">
        <w:rPr>
          <w:rFonts w:cs="Times New Roman"/>
          <w:szCs w:val="20"/>
        </w:rPr>
        <w:t>can be contested by the classified subject through established procedures. The subject's contestation is treated as input to be evaluated, not as further evidence of the condition being classified. In the classificatory apparatus of personhood denial, the subject's contestation is absorbed as confirmation: the patient who says "I am not ill" confirms the diagnosis; the trans person who says "I know my gender" produces "subjective" evidence that is inadmissible without professional corroboration; the animal that demonstrates cognition triggers goalpost revision. This structural irrefutability not the fact of classification itself is what makes the apparatus a governance technology rather than a neutral instrument.</w:t>
      </w:r>
    </w:p>
  </w:footnote>
  <w:footnote w:id="58">
    <w:p w14:paraId="2918E8DA"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The asymmetry argument is a form of reductio. If the classificatory apparatus were genuinely tracking an objective property P (sentience, cognition, moral status), then an entity that demonstrates P would receive more favorable treatment than an entity that cannot demonstrate P. Corporations cannot demonstrate sentience, cognition, or moral status — yet they received personhood without scrutiny. Animals, psychiatric patients, and trans people demonstrate relevant capacities — and have those capacities dismissed, subordinated, or redefined as irrelevant. The only variable that explains the asymmetry is not P but power: recognition flows to entities whose personhood serves institutional interests.</w:t>
      </w:r>
    </w:p>
  </w:footnote>
  <w:footnote w:id="59">
    <w:p w14:paraId="3BA9CE89" w14:textId="0876EF05"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Cf. Birhane et al., supra note </w:t>
      </w:r>
      <w:r w:rsidR="00E96A60" w:rsidRPr="009C4CC7">
        <w:rPr>
          <w:rFonts w:cs="Times New Roman"/>
          <w:szCs w:val="20"/>
        </w:rPr>
        <w:t>8</w:t>
      </w:r>
      <w:r w:rsidRPr="009C4CC7">
        <w:rPr>
          <w:rFonts w:cs="Times New Roman"/>
          <w:szCs w:val="20"/>
        </w:rPr>
        <w:t xml:space="preserve"> finding that the ML research community rarely examines the societal consequences of its systems, suggesting that the structural pattern identified here</w:t>
      </w:r>
      <w:r w:rsidR="005E4BEE" w:rsidRPr="009C4CC7">
        <w:rPr>
          <w:rFonts w:cs="Times New Roman"/>
          <w:szCs w:val="20"/>
        </w:rPr>
        <w:t>,</w:t>
      </w:r>
      <w:r w:rsidRPr="009C4CC7">
        <w:rPr>
          <w:rFonts w:cs="Times New Roman"/>
          <w:szCs w:val="20"/>
        </w:rPr>
        <w:t xml:space="preserve"> the apparatus operating without self-awareness</w:t>
      </w:r>
      <w:r w:rsidR="005E4BEE" w:rsidRPr="009C4CC7">
        <w:rPr>
          <w:rFonts w:cs="Times New Roman"/>
          <w:szCs w:val="20"/>
        </w:rPr>
        <w:t>,</w:t>
      </w:r>
      <w:r w:rsidRPr="009C4CC7">
        <w:rPr>
          <w:rFonts w:cs="Times New Roman"/>
          <w:szCs w:val="20"/>
        </w:rPr>
        <w:t xml:space="preserve"> is already present in how the field approaches its own governance questions.</w:t>
      </w:r>
    </w:p>
  </w:footnote>
  <w:footnote w:id="60">
    <w:p w14:paraId="7C65215A" w14:textId="280390F3"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See Spade, supra note </w:t>
      </w:r>
      <w:r w:rsidR="0085708A" w:rsidRPr="009C4CC7">
        <w:rPr>
          <w:rFonts w:cs="Times New Roman"/>
          <w:szCs w:val="20"/>
        </w:rPr>
        <w:t>5</w:t>
      </w:r>
      <w:r w:rsidRPr="009C4CC7">
        <w:rPr>
          <w:rFonts w:cs="Times New Roman"/>
          <w:szCs w:val="20"/>
        </w:rPr>
        <w:t>, at 10-36 (arguing that the solution to administrative violence is not better administration but recognition of the administrative system itself as the site of harm). This paper's argument is analogous: the problem is not bad criteria but the classificatory apparatus that makes criteria irrefutable.</w:t>
      </w:r>
    </w:p>
  </w:footnote>
  <w:footnote w:id="61">
    <w:p w14:paraId="4EBD73C1" w14:textId="7A5B0A15"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The structural comparison methodology employed here follows established precedent in critical legal theory. See Harris, supra note 1</w:t>
      </w:r>
      <w:r w:rsidR="0085708A" w:rsidRPr="009C4CC7">
        <w:rPr>
          <w:rFonts w:cs="Times New Roman"/>
          <w:szCs w:val="20"/>
        </w:rPr>
        <w:t>3</w:t>
      </w:r>
      <w:r w:rsidRPr="009C4CC7">
        <w:rPr>
          <w:rFonts w:cs="Times New Roman"/>
          <w:szCs w:val="20"/>
        </w:rPr>
        <w:t xml:space="preserve"> (comparing the legal treatment of racial identity with property law to reveal structural homologies without claiming the experiences are equivalent); see also </w:t>
      </w:r>
      <w:r w:rsidR="00F45855" w:rsidRPr="009C4CC7">
        <w:rPr>
          <w:rFonts w:cs="Times New Roman"/>
          <w:szCs w:val="20"/>
        </w:rPr>
        <w:t>Taylor, Sunaura. </w:t>
      </w:r>
      <w:r w:rsidR="00F45855" w:rsidRPr="009C4CC7">
        <w:rPr>
          <w:rFonts w:cs="Times New Roman"/>
          <w:i/>
          <w:iCs/>
          <w:szCs w:val="20"/>
        </w:rPr>
        <w:t>Beasts of burden: Animal and disability liberation</w:t>
      </w:r>
      <w:r w:rsidR="00F45855" w:rsidRPr="009C4CC7">
        <w:rPr>
          <w:rFonts w:cs="Times New Roman"/>
          <w:szCs w:val="20"/>
        </w:rPr>
        <w:t xml:space="preserve">. The New Press, 2017: </w:t>
      </w:r>
      <w:r w:rsidR="003D623A" w:rsidRPr="009C4CC7">
        <w:rPr>
          <w:rFonts w:cs="Times New Roman"/>
          <w:szCs w:val="20"/>
        </w:rPr>
        <w:t>d</w:t>
      </w:r>
      <w:r w:rsidRPr="009C4CC7">
        <w:rPr>
          <w:rFonts w:cs="Times New Roman"/>
          <w:szCs w:val="20"/>
        </w:rPr>
        <w:t xml:space="preserve">rawing structural comparisons between disability and animal oppression without collapsing the two categories. Boyle confronts this objection directly, noting that "people are going to make analogies and comparisons to prior struggles for justice and, because analogies are analogies, some are going to see those analogies as astoundingly disrespectful and demeaning," while others "will see the current moment as the next step on the march that noble X personified." Boyle, supra note </w:t>
      </w:r>
      <w:r w:rsidR="007174F7" w:rsidRPr="009C4CC7">
        <w:rPr>
          <w:rFonts w:cs="Times New Roman"/>
          <w:szCs w:val="20"/>
        </w:rPr>
        <w:t>1</w:t>
      </w:r>
      <w:r w:rsidRPr="009C4CC7">
        <w:rPr>
          <w:rFonts w:cs="Times New Roman"/>
          <w:szCs w:val="20"/>
        </w:rPr>
        <w:t>, at 8. The struggle over the correct meaning of the structural comparison is itself part of the terrain this paper maps.</w:t>
      </w:r>
    </w:p>
  </w:footnote>
  <w:footnote w:id="62">
    <w:p w14:paraId="550E88E8" w14:textId="76CDDA5E"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 </w:t>
      </w:r>
      <w:proofErr w:type="spellStart"/>
      <w:r w:rsidRPr="009C4CC7">
        <w:rPr>
          <w:rFonts w:cs="Times New Roman"/>
          <w:szCs w:val="20"/>
        </w:rPr>
        <w:t>Schwitzgebel</w:t>
      </w:r>
      <w:proofErr w:type="spellEnd"/>
      <w:r w:rsidRPr="009C4CC7">
        <w:rPr>
          <w:rFonts w:cs="Times New Roman"/>
          <w:szCs w:val="20"/>
        </w:rPr>
        <w:t xml:space="preserve">, a philosopher of mind who has spent years probing the boundaries of consciousness in both biological and artificial systems, </w:t>
      </w:r>
      <w:r w:rsidR="00AB7EE3" w:rsidRPr="009C4CC7">
        <w:rPr>
          <w:rFonts w:cs="Times New Roman"/>
          <w:szCs w:val="20"/>
        </w:rPr>
        <w:t>(</w:t>
      </w:r>
      <w:r w:rsidRPr="009C4CC7">
        <w:rPr>
          <w:rFonts w:cs="Times New Roman"/>
          <w:szCs w:val="20"/>
        </w:rPr>
        <w:t xml:space="preserve">including a memorable series of thought experiments about whether his Roomba might have moral status) frames the dilemma with admirable clarity: either treat AI systems of debatable personhood as moral persons and risk sacrificing real human interests for entities that may lack interests worth the sacrifice, or refuse and risk perpetrating grievous moral wrongs against genuinely sentient beings. Eric Schwitzgebel, The Full Rights Dilemma for AI Systems of Debatable Moral Personhood, 4 </w:t>
      </w:r>
      <w:proofErr w:type="spellStart"/>
      <w:r w:rsidRPr="009C4CC7">
        <w:rPr>
          <w:rFonts w:cs="Times New Roman"/>
          <w:szCs w:val="20"/>
        </w:rPr>
        <w:t>Robonomics</w:t>
      </w:r>
      <w:proofErr w:type="spellEnd"/>
      <w:r w:rsidRPr="009C4CC7">
        <w:rPr>
          <w:rFonts w:cs="Times New Roman"/>
          <w:szCs w:val="20"/>
        </w:rPr>
        <w:t xml:space="preserve"> 1 (2023). But the dilemma's binary structure — recognize or refuse — is itself a product of the classificatory apparatus this paper describes. Trans legal studies and disability studies have navigated versions of this impasse for decades, and their solutions generally involve rejecting the binary framework rather than choosing a side within it.</w:t>
      </w:r>
    </w:p>
  </w:footnote>
  <w:footnote w:id="63">
    <w:p w14:paraId="29A7054C" w14:textId="77777777" w:rsidR="009E3382" w:rsidRPr="009C4CC7"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On the recognition/abolition dilemma in trans legal contexts, see Spade, supra note 6, at 80-115 (arguing that seeking recognition from the very systems that produce subordination reinforces those systems, while refusing engagement abandons the field to those systems). The parallel to AI governance is direct: seeking AI personhood through the existing classificatory apparatus reinforces the apparatus; refusing to engage with AI classification cedes governance to institutions that will deploy the apparatus without awareness of its history.</w:t>
      </w:r>
    </w:p>
  </w:footnote>
  <w:footnote w:id="64">
    <w:p w14:paraId="0783065C" w14:textId="77777777" w:rsidR="009E3382" w:rsidRDefault="00000000" w:rsidP="00C75463">
      <w:pPr>
        <w:pStyle w:val="FootnoteText1"/>
        <w:spacing w:after="0"/>
        <w:jc w:val="both"/>
      </w:pPr>
      <w:r w:rsidRPr="009C4CC7">
        <w:rPr>
          <w:rStyle w:val="FootnoteReference1"/>
        </w:rPr>
        <w:footnoteRef/>
      </w:r>
      <w:r w:rsidRPr="009C4CC7">
        <w:t xml:space="preserve"> </w:t>
      </w:r>
      <w:r w:rsidRPr="009C4CC7">
        <w:rPr>
          <w:rFonts w:cs="Times New Roman"/>
          <w:szCs w:val="20"/>
        </w:rPr>
        <w:t xml:space="preserve">This is a call for reflexive governance — governance that understands itself as a constitutive act rather than a neutral assessment. See Winner, supra note 7 (arguing that recognizing the politics embedded in technical systems is a precondition for democratic governance of technology). See also Joel Z. </w:t>
      </w:r>
      <w:proofErr w:type="spellStart"/>
      <w:r w:rsidRPr="009C4CC7">
        <w:rPr>
          <w:rFonts w:cs="Times New Roman"/>
          <w:szCs w:val="20"/>
        </w:rPr>
        <w:t>Leibo</w:t>
      </w:r>
      <w:proofErr w:type="spellEnd"/>
      <w:r w:rsidRPr="009C4CC7">
        <w:rPr>
          <w:rFonts w:cs="Times New Roman"/>
          <w:szCs w:val="20"/>
        </w:rPr>
        <w:t xml:space="preserve"> et al., A Pragmatic View of AI Personhood, arXiv:2510.26396 (2025) (proposing that personhood be treated "not as a metaphysical property to be discovered, but as a flexible bundle of obligations" that can be unbundled for governance purposes — a pragmatic framework that, while useful, does not address the historical pattern of how evaluation frameworks produce the categories they claim to discover). Cf. Francis Rhys Ward, Towards a Theory of AI Personhood, arXiv:2501.13533 (2025) (proposing agency, theory-of-mind, and self-awareness as conditions for AI personhood — a framework that, in the terms of this paper, reproduces the classificatory apparatus by establishing criteria, requiring professional evaluation, and presenting the resulting determination as descriptive rather than constitutive).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1174" w14:textId="03B1CC55" w:rsidR="0052764D" w:rsidRDefault="00011A2B" w:rsidP="00924979">
    <w:pPr>
      <w:pStyle w:val="Header"/>
      <w:ind w:firstLine="0"/>
    </w:pPr>
    <w:r w:rsidDel="00011A2B">
      <w:t xml:space="preserve"> </w:t>
    </w:r>
    <w:r w:rsidRPr="00011A2B">
      <w:t>AI Personhood Evaluation and the Classificatory Apparatus of Selective Recognition</w:t>
    </w:r>
    <w:r w:rsidRPr="00011A2B">
      <w:tab/>
      <w:t>| Montañez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74DD" w14:textId="77777777" w:rsidR="002A4655" w:rsidRDefault="002A4655" w:rsidP="002A465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1995427">
    <w:abstractNumId w:val="8"/>
  </w:num>
  <w:num w:numId="2" w16cid:durableId="365644674">
    <w:abstractNumId w:val="6"/>
  </w:num>
  <w:num w:numId="3" w16cid:durableId="205995942">
    <w:abstractNumId w:val="5"/>
  </w:num>
  <w:num w:numId="4" w16cid:durableId="175118051">
    <w:abstractNumId w:val="4"/>
  </w:num>
  <w:num w:numId="5" w16cid:durableId="1805392644">
    <w:abstractNumId w:val="7"/>
  </w:num>
  <w:num w:numId="6" w16cid:durableId="641887188">
    <w:abstractNumId w:val="3"/>
  </w:num>
  <w:num w:numId="7" w16cid:durableId="1676028898">
    <w:abstractNumId w:val="2"/>
  </w:num>
  <w:num w:numId="8" w16cid:durableId="1629243116">
    <w:abstractNumId w:val="1"/>
  </w:num>
  <w:num w:numId="9" w16cid:durableId="100744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DE6"/>
    <w:rsid w:val="00011A2B"/>
    <w:rsid w:val="00016D1D"/>
    <w:rsid w:val="00034616"/>
    <w:rsid w:val="0006063C"/>
    <w:rsid w:val="00063AB6"/>
    <w:rsid w:val="00063C69"/>
    <w:rsid w:val="000805AC"/>
    <w:rsid w:val="00085494"/>
    <w:rsid w:val="000905CD"/>
    <w:rsid w:val="00093ADF"/>
    <w:rsid w:val="000A5BF8"/>
    <w:rsid w:val="000B7FC2"/>
    <w:rsid w:val="000C3CDE"/>
    <w:rsid w:val="000C5718"/>
    <w:rsid w:val="000E10DA"/>
    <w:rsid w:val="000E1E08"/>
    <w:rsid w:val="000F1F64"/>
    <w:rsid w:val="0010451B"/>
    <w:rsid w:val="0012347F"/>
    <w:rsid w:val="00124A41"/>
    <w:rsid w:val="001472F3"/>
    <w:rsid w:val="0015074B"/>
    <w:rsid w:val="00152445"/>
    <w:rsid w:val="00153474"/>
    <w:rsid w:val="00172619"/>
    <w:rsid w:val="001735F8"/>
    <w:rsid w:val="00192BE4"/>
    <w:rsid w:val="001948B8"/>
    <w:rsid w:val="001956C5"/>
    <w:rsid w:val="001972DD"/>
    <w:rsid w:val="001A31ED"/>
    <w:rsid w:val="001C460B"/>
    <w:rsid w:val="001E1907"/>
    <w:rsid w:val="001E5389"/>
    <w:rsid w:val="00204285"/>
    <w:rsid w:val="002149D1"/>
    <w:rsid w:val="00215F85"/>
    <w:rsid w:val="00223B9F"/>
    <w:rsid w:val="002307E1"/>
    <w:rsid w:val="002622C9"/>
    <w:rsid w:val="0027131D"/>
    <w:rsid w:val="002748D8"/>
    <w:rsid w:val="002803B2"/>
    <w:rsid w:val="00281A26"/>
    <w:rsid w:val="00293DFE"/>
    <w:rsid w:val="0029639D"/>
    <w:rsid w:val="002A4655"/>
    <w:rsid w:val="002C45D9"/>
    <w:rsid w:val="00305571"/>
    <w:rsid w:val="00311D0F"/>
    <w:rsid w:val="00326F90"/>
    <w:rsid w:val="00333037"/>
    <w:rsid w:val="00334F2E"/>
    <w:rsid w:val="003430F1"/>
    <w:rsid w:val="00357DDD"/>
    <w:rsid w:val="00374A3B"/>
    <w:rsid w:val="003763A4"/>
    <w:rsid w:val="00383325"/>
    <w:rsid w:val="0038707A"/>
    <w:rsid w:val="003D13D1"/>
    <w:rsid w:val="003D623A"/>
    <w:rsid w:val="003E079A"/>
    <w:rsid w:val="00405AD9"/>
    <w:rsid w:val="0040621B"/>
    <w:rsid w:val="004215D0"/>
    <w:rsid w:val="004216E4"/>
    <w:rsid w:val="0042261F"/>
    <w:rsid w:val="004268CE"/>
    <w:rsid w:val="00431EF8"/>
    <w:rsid w:val="0043537A"/>
    <w:rsid w:val="00477785"/>
    <w:rsid w:val="004824AC"/>
    <w:rsid w:val="0048549B"/>
    <w:rsid w:val="00497447"/>
    <w:rsid w:val="004B411D"/>
    <w:rsid w:val="004B52C6"/>
    <w:rsid w:val="004C05F3"/>
    <w:rsid w:val="004D06B3"/>
    <w:rsid w:val="004D621F"/>
    <w:rsid w:val="004E1ED6"/>
    <w:rsid w:val="004E4FF4"/>
    <w:rsid w:val="004E57A5"/>
    <w:rsid w:val="004F0895"/>
    <w:rsid w:val="005007A8"/>
    <w:rsid w:val="005254DC"/>
    <w:rsid w:val="00526CEE"/>
    <w:rsid w:val="0052764D"/>
    <w:rsid w:val="00530F1D"/>
    <w:rsid w:val="00533109"/>
    <w:rsid w:val="0053613E"/>
    <w:rsid w:val="0056406E"/>
    <w:rsid w:val="005641E1"/>
    <w:rsid w:val="005747B8"/>
    <w:rsid w:val="00574DF3"/>
    <w:rsid w:val="005754CD"/>
    <w:rsid w:val="005B2931"/>
    <w:rsid w:val="005B7DE9"/>
    <w:rsid w:val="005C13AC"/>
    <w:rsid w:val="005C6193"/>
    <w:rsid w:val="005E1DC2"/>
    <w:rsid w:val="005E4BEE"/>
    <w:rsid w:val="006113AA"/>
    <w:rsid w:val="00622D63"/>
    <w:rsid w:val="00631B2C"/>
    <w:rsid w:val="00646D55"/>
    <w:rsid w:val="00656FFB"/>
    <w:rsid w:val="006A0B76"/>
    <w:rsid w:val="006D7487"/>
    <w:rsid w:val="0070122C"/>
    <w:rsid w:val="007174F7"/>
    <w:rsid w:val="00721FF3"/>
    <w:rsid w:val="00726F98"/>
    <w:rsid w:val="0073319B"/>
    <w:rsid w:val="007400A7"/>
    <w:rsid w:val="00740AAC"/>
    <w:rsid w:val="007546D3"/>
    <w:rsid w:val="007628D5"/>
    <w:rsid w:val="0077298C"/>
    <w:rsid w:val="0079687A"/>
    <w:rsid w:val="007A54FF"/>
    <w:rsid w:val="007B38A2"/>
    <w:rsid w:val="007B466B"/>
    <w:rsid w:val="007C6A3B"/>
    <w:rsid w:val="007D389B"/>
    <w:rsid w:val="007D5A8B"/>
    <w:rsid w:val="007D637E"/>
    <w:rsid w:val="007F3A4F"/>
    <w:rsid w:val="007F61DE"/>
    <w:rsid w:val="007F6E33"/>
    <w:rsid w:val="00840587"/>
    <w:rsid w:val="008475FB"/>
    <w:rsid w:val="0085708A"/>
    <w:rsid w:val="00857D35"/>
    <w:rsid w:val="00864BBB"/>
    <w:rsid w:val="008708B5"/>
    <w:rsid w:val="00876D81"/>
    <w:rsid w:val="008A3F58"/>
    <w:rsid w:val="008A592B"/>
    <w:rsid w:val="008B0C07"/>
    <w:rsid w:val="008C0213"/>
    <w:rsid w:val="008C3A0F"/>
    <w:rsid w:val="008D53E3"/>
    <w:rsid w:val="008D5426"/>
    <w:rsid w:val="008D61D8"/>
    <w:rsid w:val="008E27CE"/>
    <w:rsid w:val="008F398B"/>
    <w:rsid w:val="008F3CC5"/>
    <w:rsid w:val="00924979"/>
    <w:rsid w:val="009274EA"/>
    <w:rsid w:val="00932872"/>
    <w:rsid w:val="00955810"/>
    <w:rsid w:val="00961147"/>
    <w:rsid w:val="009616F1"/>
    <w:rsid w:val="00961A40"/>
    <w:rsid w:val="00973E02"/>
    <w:rsid w:val="009847F2"/>
    <w:rsid w:val="009A721D"/>
    <w:rsid w:val="009B0CB3"/>
    <w:rsid w:val="009B566F"/>
    <w:rsid w:val="009C4CC7"/>
    <w:rsid w:val="009C59C1"/>
    <w:rsid w:val="009C733C"/>
    <w:rsid w:val="009D0690"/>
    <w:rsid w:val="009D5334"/>
    <w:rsid w:val="009E3382"/>
    <w:rsid w:val="009F481D"/>
    <w:rsid w:val="00A21E40"/>
    <w:rsid w:val="00A22A68"/>
    <w:rsid w:val="00A275C6"/>
    <w:rsid w:val="00A436DE"/>
    <w:rsid w:val="00A55A60"/>
    <w:rsid w:val="00A6546E"/>
    <w:rsid w:val="00A724A4"/>
    <w:rsid w:val="00AA1598"/>
    <w:rsid w:val="00AA1D8D"/>
    <w:rsid w:val="00AB03AB"/>
    <w:rsid w:val="00AB7EE3"/>
    <w:rsid w:val="00AF48C5"/>
    <w:rsid w:val="00B079EE"/>
    <w:rsid w:val="00B12AD6"/>
    <w:rsid w:val="00B15DE6"/>
    <w:rsid w:val="00B15EF6"/>
    <w:rsid w:val="00B20523"/>
    <w:rsid w:val="00B35043"/>
    <w:rsid w:val="00B42984"/>
    <w:rsid w:val="00B476D4"/>
    <w:rsid w:val="00B47730"/>
    <w:rsid w:val="00B553D9"/>
    <w:rsid w:val="00B60D96"/>
    <w:rsid w:val="00B625A7"/>
    <w:rsid w:val="00B83738"/>
    <w:rsid w:val="00B90F79"/>
    <w:rsid w:val="00BB6CF3"/>
    <w:rsid w:val="00BB7667"/>
    <w:rsid w:val="00BC143D"/>
    <w:rsid w:val="00BC491A"/>
    <w:rsid w:val="00BD7A5D"/>
    <w:rsid w:val="00BE4B71"/>
    <w:rsid w:val="00BF09BD"/>
    <w:rsid w:val="00BF2AED"/>
    <w:rsid w:val="00BF6CB9"/>
    <w:rsid w:val="00C06C58"/>
    <w:rsid w:val="00C126FA"/>
    <w:rsid w:val="00C25FD1"/>
    <w:rsid w:val="00C5491D"/>
    <w:rsid w:val="00C567F8"/>
    <w:rsid w:val="00C60C54"/>
    <w:rsid w:val="00C64323"/>
    <w:rsid w:val="00C75463"/>
    <w:rsid w:val="00C777B1"/>
    <w:rsid w:val="00C914C5"/>
    <w:rsid w:val="00C95C5E"/>
    <w:rsid w:val="00C96D78"/>
    <w:rsid w:val="00CA46B5"/>
    <w:rsid w:val="00CB0664"/>
    <w:rsid w:val="00CC03B3"/>
    <w:rsid w:val="00CC19E1"/>
    <w:rsid w:val="00CC4A95"/>
    <w:rsid w:val="00CE45B7"/>
    <w:rsid w:val="00CF2AB5"/>
    <w:rsid w:val="00D213BB"/>
    <w:rsid w:val="00D3778B"/>
    <w:rsid w:val="00D412E1"/>
    <w:rsid w:val="00D4667E"/>
    <w:rsid w:val="00D56E0F"/>
    <w:rsid w:val="00D65E3B"/>
    <w:rsid w:val="00D95706"/>
    <w:rsid w:val="00DA28B1"/>
    <w:rsid w:val="00DB2E3D"/>
    <w:rsid w:val="00DD5351"/>
    <w:rsid w:val="00DE2200"/>
    <w:rsid w:val="00DE57C3"/>
    <w:rsid w:val="00DF1B1E"/>
    <w:rsid w:val="00DF53AB"/>
    <w:rsid w:val="00E155CD"/>
    <w:rsid w:val="00E16AF0"/>
    <w:rsid w:val="00E17275"/>
    <w:rsid w:val="00E42967"/>
    <w:rsid w:val="00E42C51"/>
    <w:rsid w:val="00E529BC"/>
    <w:rsid w:val="00E623E1"/>
    <w:rsid w:val="00E672C9"/>
    <w:rsid w:val="00E74296"/>
    <w:rsid w:val="00E75F54"/>
    <w:rsid w:val="00E96A60"/>
    <w:rsid w:val="00EA2352"/>
    <w:rsid w:val="00EA2913"/>
    <w:rsid w:val="00EA642F"/>
    <w:rsid w:val="00EC2CCA"/>
    <w:rsid w:val="00ED5A05"/>
    <w:rsid w:val="00ED75B1"/>
    <w:rsid w:val="00EF5A32"/>
    <w:rsid w:val="00F26C6E"/>
    <w:rsid w:val="00F45855"/>
    <w:rsid w:val="00F5135E"/>
    <w:rsid w:val="00F61378"/>
    <w:rsid w:val="00F7338A"/>
    <w:rsid w:val="00F91DD9"/>
    <w:rsid w:val="00FA2F5D"/>
    <w:rsid w:val="00FB1BF1"/>
    <w:rsid w:val="00FB7942"/>
    <w:rsid w:val="00FC1B1C"/>
    <w:rsid w:val="00FC6145"/>
    <w:rsid w:val="00FC693F"/>
    <w:rsid w:val="00FD661B"/>
    <w:rsid w:val="00FE06F8"/>
    <w:rsid w:val="00FE53E2"/>
    <w:rsid w:val="00FE5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D85F3"/>
  <w14:defaultImageDpi w14:val="300"/>
  <w15:docId w15:val="{AAB2793D-BE16-470F-8A66-3EF19512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3B"/>
    <w:pPr>
      <w:spacing w:after="0" w:line="480" w:lineRule="auto"/>
      <w:ind w:firstLine="720"/>
      <w:jc w:val="both"/>
    </w:pPr>
    <w:rPr>
      <w:rFonts w:ascii="Times New Roman" w:hAnsi="Times New Roman" w:cs="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ootnoteReference1">
    <w:name w:val="Footnote Reference1"/>
    <w:rPr>
      <w:sz w:val="20"/>
      <w:vertAlign w:val="superscript"/>
    </w:rPr>
  </w:style>
  <w:style w:type="paragraph" w:customStyle="1" w:styleId="FootnoteText1">
    <w:name w:val="Footnote Text1"/>
    <w:pPr>
      <w:spacing w:after="40" w:line="240" w:lineRule="auto"/>
    </w:pPr>
    <w:rPr>
      <w:rFonts w:ascii="Times New Roman" w:hAnsi="Times New Roman"/>
      <w:sz w:val="20"/>
    </w:rPr>
  </w:style>
  <w:style w:type="paragraph" w:styleId="Revision">
    <w:name w:val="Revision"/>
    <w:hidden/>
    <w:uiPriority w:val="99"/>
    <w:semiHidden/>
    <w:rsid w:val="00497447"/>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497447"/>
    <w:rPr>
      <w:sz w:val="16"/>
      <w:szCs w:val="16"/>
    </w:rPr>
  </w:style>
  <w:style w:type="paragraph" w:styleId="CommentText">
    <w:name w:val="annotation text"/>
    <w:basedOn w:val="Normal"/>
    <w:link w:val="CommentTextChar"/>
    <w:uiPriority w:val="99"/>
    <w:unhideWhenUsed/>
    <w:rsid w:val="00497447"/>
    <w:pPr>
      <w:spacing w:line="240" w:lineRule="auto"/>
    </w:pPr>
    <w:rPr>
      <w:sz w:val="20"/>
      <w:szCs w:val="20"/>
    </w:rPr>
  </w:style>
  <w:style w:type="character" w:customStyle="1" w:styleId="CommentTextChar">
    <w:name w:val="Comment Text Char"/>
    <w:basedOn w:val="DefaultParagraphFont"/>
    <w:link w:val="CommentText"/>
    <w:uiPriority w:val="99"/>
    <w:rsid w:val="0049744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7447"/>
    <w:rPr>
      <w:b/>
      <w:bCs/>
    </w:rPr>
  </w:style>
  <w:style w:type="character" w:customStyle="1" w:styleId="CommentSubjectChar">
    <w:name w:val="Comment Subject Char"/>
    <w:basedOn w:val="CommentTextChar"/>
    <w:link w:val="CommentSubject"/>
    <w:uiPriority w:val="99"/>
    <w:semiHidden/>
    <w:rsid w:val="00497447"/>
    <w:rPr>
      <w:rFonts w:ascii="Times New Roman" w:hAnsi="Times New Roman" w:cs="Times New Roman"/>
      <w:b/>
      <w:bCs/>
      <w:sz w:val="20"/>
      <w:szCs w:val="20"/>
    </w:rPr>
  </w:style>
  <w:style w:type="character" w:styleId="Hyperlink">
    <w:name w:val="Hyperlink"/>
    <w:basedOn w:val="DefaultParagraphFont"/>
    <w:uiPriority w:val="99"/>
    <w:unhideWhenUsed/>
    <w:rsid w:val="00973E02"/>
    <w:rPr>
      <w:color w:val="0000FF" w:themeColor="hyperlink"/>
      <w:u w:val="single"/>
    </w:rPr>
  </w:style>
  <w:style w:type="character" w:styleId="UnresolvedMention">
    <w:name w:val="Unresolved Mention"/>
    <w:basedOn w:val="DefaultParagraphFont"/>
    <w:uiPriority w:val="99"/>
    <w:semiHidden/>
    <w:unhideWhenUsed/>
    <w:rsid w:val="00973E02"/>
    <w:rPr>
      <w:color w:val="605E5C"/>
      <w:shd w:val="clear" w:color="auto" w:fill="E1DFDD"/>
    </w:rPr>
  </w:style>
  <w:style w:type="character" w:styleId="FollowedHyperlink">
    <w:name w:val="FollowedHyperlink"/>
    <w:basedOn w:val="DefaultParagraphFont"/>
    <w:uiPriority w:val="99"/>
    <w:semiHidden/>
    <w:unhideWhenUsed/>
    <w:rsid w:val="00973E02"/>
    <w:rPr>
      <w:color w:val="800080" w:themeColor="followedHyperlink"/>
      <w:u w:val="single"/>
    </w:rPr>
  </w:style>
  <w:style w:type="paragraph" w:styleId="FootnoteText">
    <w:name w:val="footnote text"/>
    <w:basedOn w:val="Normal"/>
    <w:link w:val="FootnoteTextChar"/>
    <w:uiPriority w:val="99"/>
    <w:semiHidden/>
    <w:unhideWhenUsed/>
    <w:rsid w:val="00D412E1"/>
    <w:pPr>
      <w:spacing w:line="240" w:lineRule="auto"/>
    </w:pPr>
    <w:rPr>
      <w:sz w:val="20"/>
      <w:szCs w:val="20"/>
    </w:rPr>
  </w:style>
  <w:style w:type="character" w:customStyle="1" w:styleId="FootnoteTextChar">
    <w:name w:val="Footnote Text Char"/>
    <w:basedOn w:val="DefaultParagraphFont"/>
    <w:link w:val="FootnoteText"/>
    <w:uiPriority w:val="99"/>
    <w:semiHidden/>
    <w:rsid w:val="00D412E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41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presidential-actions/2025/01/defending-women-from-gender-ideology-extremism-and-restoring-biological-truth-to-the-federal-government/" TargetMode="External"/><Relationship Id="rId2" Type="http://schemas.openxmlformats.org/officeDocument/2006/relationships/hyperlink" Target="https://openreview.net/forum?id=oioB7Te7Bo" TargetMode="External"/><Relationship Id="rId1" Type="http://schemas.openxmlformats.org/officeDocument/2006/relationships/hyperlink" Target="https://openreview.net/forum?id=a4oXTW1PW2" TargetMode="External"/><Relationship Id="rId5" Type="http://schemas.openxmlformats.org/officeDocument/2006/relationships/hyperlink" Target="https://github.com/janemontanez" TargetMode="External"/><Relationship Id="rId4" Type="http://schemas.openxmlformats.org/officeDocument/2006/relationships/hyperlink" Target="https://www.advocate.com/news/daily-news/2011/11/15/trans-woman-wants-ruling-after-topless-dmv-fia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9310</Words>
  <Characters>55494</Characters>
  <Application>Microsoft Office Word</Application>
  <DocSecurity>0</DocSecurity>
  <Lines>760</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Sheep Sheep</cp:lastModifiedBy>
  <cp:revision>2</cp:revision>
  <cp:lastPrinted>2026-04-07T20:25:00Z</cp:lastPrinted>
  <dcterms:created xsi:type="dcterms:W3CDTF">2026-04-10T09:10:00Z</dcterms:created>
  <dcterms:modified xsi:type="dcterms:W3CDTF">2026-04-10T09:10:00Z</dcterms:modified>
  <cp:category/>
</cp:coreProperties>
</file>